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sz w:val="44"/>
          <w:szCs w:val="44"/>
        </w:rPr>
        <w:t>2020年度智慧益阳管理中心电费项目资金绩效自评报告</w:t>
      </w:r>
    </w:p>
    <w:p>
      <w:pPr>
        <w:adjustRightInd w:val="0"/>
        <w:spacing w:line="600" w:lineRule="exact"/>
        <w:ind w:right="641"/>
        <w:rPr>
          <w:rFonts w:ascii="Times New Roman" w:hAnsi="Times New Roman"/>
          <w:szCs w:val="32"/>
        </w:rPr>
      </w:pPr>
    </w:p>
    <w:p>
      <w:pPr>
        <w:adjustRightInd w:val="0"/>
        <w:snapToGrid w:val="0"/>
        <w:spacing w:line="6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一、项目概况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智慧益阳管理中心共三层，一层为大数据中心机房，二层为应急指挥中心和办公室，三层为12345市热线办公室。中心机房面积1000平米，</w:t>
      </w:r>
      <w:r>
        <w:rPr>
          <w:rFonts w:ascii="仿宋_GB2312" w:hAnsi="仿宋"/>
          <w:szCs w:val="32"/>
        </w:rPr>
        <w:t>由5组模块化机柜组成，机柜数量224个</w:t>
      </w:r>
      <w:r>
        <w:rPr>
          <w:rFonts w:hint="eastAsia" w:ascii="仿宋_GB2312" w:hAnsi="仿宋"/>
          <w:szCs w:val="32"/>
        </w:rPr>
        <w:t>。智慧益阳管理中心电费项目：一是为了保障大数据中心机房设备和空调等设施正常运行；二是为了保障应急指挥中心大厅指挥系统、显示屏、电脑等正常工作；三是为了保障12345市长热线正常运转。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绩效自评工作开展情况</w:t>
      </w:r>
    </w:p>
    <w:p>
      <w:pPr>
        <w:spacing w:line="580" w:lineRule="exact"/>
        <w:ind w:firstLine="632" w:firstLineChars="200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楷体" w:hAnsi="楷体" w:eastAsia="楷体" w:cs="楷体"/>
          <w:szCs w:val="32"/>
        </w:rPr>
        <w:t>（一）绩效评价目的。</w:t>
      </w:r>
      <w:r>
        <w:rPr>
          <w:rFonts w:hint="eastAsia" w:ascii="方正仿宋简体" w:hAnsi="方正仿宋简体" w:eastAsia="方正仿宋简体" w:cs="方正仿宋简体"/>
          <w:szCs w:val="32"/>
        </w:rPr>
        <w:t>通过开展绩效评价，全面了解、分析项目实施程序是否规范，后期维护是否完善，资金使用、管理是否合规，项目绩效目标是否实现，进一步健全相关制度，规范资金使用、管理，加强项目后期运行维护，确保项目正常运行，提高财政资金使用效益。</w:t>
      </w:r>
    </w:p>
    <w:p>
      <w:pPr>
        <w:spacing w:line="580" w:lineRule="exact"/>
        <w:ind w:firstLine="632" w:firstLineChars="200"/>
        <w:rPr>
          <w:rFonts w:ascii="方正仿宋简体" w:hAnsi="方正仿宋简体" w:cs="方正仿宋简体"/>
          <w:szCs w:val="32"/>
        </w:rPr>
      </w:pPr>
      <w:r>
        <w:rPr>
          <w:rFonts w:hint="eastAsia" w:ascii="楷体" w:hAnsi="楷体" w:eastAsia="楷体" w:cs="楷体"/>
          <w:szCs w:val="32"/>
        </w:rPr>
        <w:t>（二）绩效评价过程。</w:t>
      </w:r>
      <w:r>
        <w:rPr>
          <w:rFonts w:hint="eastAsia" w:ascii="仿宋_GB2312" w:hAnsi="仿宋"/>
          <w:szCs w:val="32"/>
        </w:rPr>
        <w:t>根据《益阳市财政局关于开展2020年度部门绩效自评工作的通知》文件要求，我单位成立了绩效评价小组，对2020年度智慧益阳管理中心电费项目开展了绩效自评工作：</w:t>
      </w:r>
    </w:p>
    <w:p>
      <w:pPr>
        <w:spacing w:line="580" w:lineRule="exact"/>
        <w:ind w:firstLine="632" w:firstLineChars="200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1、做好前期准备。</w:t>
      </w:r>
      <w:r>
        <w:rPr>
          <w:rFonts w:hint="eastAsia" w:ascii="方正仿宋简体" w:hAnsi="方正仿宋简体" w:eastAsia="方正仿宋简体" w:cs="方正仿宋简体"/>
          <w:szCs w:val="32"/>
        </w:rPr>
        <w:t>抽调专人成立绩效评价工作小组，明确了工作职责，制定了现场评价方案，联系相关部门单位，确定工作安排。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2、明确实施步骤。</w:t>
      </w:r>
      <w:r>
        <w:rPr>
          <w:rFonts w:hint="eastAsia" w:ascii="方正仿宋简体" w:hAnsi="方正仿宋简体" w:eastAsia="方正仿宋简体" w:cs="方正仿宋简体"/>
          <w:szCs w:val="32"/>
        </w:rPr>
        <w:t>（1）召开座谈会。组织分管领导、财务及项目负责人等召开座谈会，听取项目资金使用有关情况介绍；（2）收集核查资料。收集相关制度建设文件，查验项目运行、管理和维护情况等，核查相关制度是否完善，检查财务会计凭证，资金拨付手续是否齐全，是否存在截留、挪用等情况。（3）现场查看。到智慧益阳管理中心数据机房现场查看，走访电力局，查询电费明细，了解数据管理中心机房设备运行情况、电费使用情况及优化建议等。（4）形成结论，撰写评价报告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综合评价结论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该项目资金管理规范、项目管理到位、政策执行有力、有效发挥了财政资金的使用效率，确保了智慧益阳管理中心各项工作的正常运转。该项目自评分为95分，评价等级为“优秀”。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32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绩效目标实现情况分析</w:t>
      </w:r>
    </w:p>
    <w:p>
      <w:pPr>
        <w:widowControl/>
        <w:numPr>
          <w:ilvl w:val="0"/>
          <w:numId w:val="3"/>
        </w:numPr>
        <w:spacing w:line="600" w:lineRule="exact"/>
        <w:ind w:firstLine="632" w:firstLineChars="200"/>
        <w:rPr>
          <w:rFonts w:ascii="楷体_GB2312" w:hAnsi="仿宋" w:eastAsia="楷体_GB2312"/>
          <w:szCs w:val="32"/>
        </w:rPr>
      </w:pPr>
      <w:r>
        <w:rPr>
          <w:rFonts w:hint="eastAsia" w:ascii="楷体_GB2312" w:hAnsi="仿宋" w:eastAsia="楷体_GB2312"/>
          <w:szCs w:val="32"/>
        </w:rPr>
        <w:t>项目资金使用及管理情况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楷体_GB2312" w:hAnsi="仿宋" w:eastAsia="楷体_GB2312"/>
          <w:szCs w:val="32"/>
        </w:rPr>
      </w:pPr>
      <w:r>
        <w:rPr>
          <w:rFonts w:ascii="方正仿宋简体" w:hAnsi="方正仿宋简体" w:eastAsia="方正仿宋简体" w:cs="方正仿宋简体"/>
          <w:szCs w:val="32"/>
        </w:rPr>
        <w:t>2020年</w:t>
      </w:r>
      <w:r>
        <w:rPr>
          <w:rFonts w:hint="eastAsia" w:ascii="方正仿宋简体" w:hAnsi="方正仿宋简体" w:eastAsia="方正仿宋简体" w:cs="方正仿宋简体"/>
          <w:szCs w:val="32"/>
        </w:rPr>
        <w:t>财政</w:t>
      </w:r>
      <w:r>
        <w:rPr>
          <w:rFonts w:ascii="方正仿宋简体" w:hAnsi="方正仿宋简体" w:eastAsia="方正仿宋简体" w:cs="方正仿宋简体"/>
          <w:szCs w:val="32"/>
        </w:rPr>
        <w:t>安排下达</w:t>
      </w:r>
      <w:r>
        <w:rPr>
          <w:rFonts w:hint="eastAsia" w:ascii="方正仿宋简体" w:hAnsi="方正仿宋简体" w:eastAsia="方正仿宋简体" w:cs="方正仿宋简体"/>
          <w:szCs w:val="32"/>
        </w:rPr>
        <w:t>智慧城市管理中心电费135</w:t>
      </w:r>
      <w:r>
        <w:rPr>
          <w:rFonts w:ascii="方正仿宋简体" w:hAnsi="方正仿宋简体" w:eastAsia="方正仿宋简体" w:cs="方正仿宋简体"/>
          <w:szCs w:val="32"/>
        </w:rPr>
        <w:t>万元</w:t>
      </w:r>
      <w:r>
        <w:rPr>
          <w:rFonts w:hint="eastAsia" w:ascii="方正仿宋简体" w:hAnsi="方正仿宋简体" w:eastAsia="方正仿宋简体" w:cs="方正仿宋简体"/>
          <w:szCs w:val="32"/>
        </w:rPr>
        <w:t>，</w:t>
      </w:r>
      <w:r>
        <w:rPr>
          <w:rFonts w:hint="eastAsia" w:ascii="仿宋_GB2312" w:hAnsi="仿宋"/>
          <w:szCs w:val="32"/>
        </w:rPr>
        <w:t>资金到位率100%，2020年度</w:t>
      </w:r>
      <w:r>
        <w:rPr>
          <w:rFonts w:hint="eastAsia" w:ascii="方正仿宋简体" w:hAnsi="方正仿宋简体" w:eastAsia="方正仿宋简体" w:cs="方正仿宋简体"/>
          <w:szCs w:val="32"/>
        </w:rPr>
        <w:t>智慧城市管理中心电费</w:t>
      </w:r>
      <w:r>
        <w:rPr>
          <w:rFonts w:hint="eastAsia" w:ascii="仿宋_GB2312" w:hAnsi="仿宋"/>
          <w:szCs w:val="32"/>
        </w:rPr>
        <w:t>支出135万元，预算执行率100%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。该项目资金</w:t>
      </w:r>
      <w:r>
        <w:rPr>
          <w:rFonts w:hint="eastAsia" w:ascii="仿宋_GB2312" w:hAnsi="仿宋"/>
          <w:szCs w:val="32"/>
        </w:rPr>
        <w:t>专款专用，实行预付制度，根据电力局开据的发票和电费使用明细单进行核销。该项目资金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支付程序合规，手续齐全，不存在挤占、截留、挪用资金现象。</w:t>
      </w:r>
    </w:p>
    <w:p>
      <w:pPr>
        <w:widowControl/>
        <w:numPr>
          <w:ilvl w:val="0"/>
          <w:numId w:val="4"/>
        </w:numPr>
        <w:spacing w:line="600" w:lineRule="exact"/>
        <w:ind w:firstLine="632" w:firstLineChars="200"/>
        <w:rPr>
          <w:rFonts w:ascii="楷体_GB2312" w:hAnsi="仿宋" w:eastAsia="楷体_GB2312"/>
          <w:szCs w:val="32"/>
        </w:rPr>
      </w:pPr>
      <w:r>
        <w:rPr>
          <w:rFonts w:hint="eastAsia" w:ascii="楷体_GB2312" w:hAnsi="仿宋" w:eastAsia="楷体_GB2312"/>
          <w:szCs w:val="32"/>
        </w:rPr>
        <w:t>总体绩效目标完成情况分析</w:t>
      </w:r>
    </w:p>
    <w:p>
      <w:pPr>
        <w:widowControl/>
        <w:spacing w:line="600" w:lineRule="exact"/>
        <w:ind w:firstLine="632" w:firstLineChars="200"/>
        <w:rPr>
          <w:rFonts w:ascii="楷体_GB2312" w:hAnsi="仿宋" w:eastAsia="楷体_GB2312"/>
          <w:szCs w:val="32"/>
        </w:rPr>
      </w:pPr>
      <w:r>
        <w:rPr>
          <w:rFonts w:hint="eastAsia" w:ascii="仿宋_GB2312" w:hAnsi="仿宋"/>
          <w:szCs w:val="32"/>
        </w:rPr>
        <w:t>该项目保障智慧城市建设项目电力供应，提高政府服务能力，为后续政府治理、普惠民生、产业升级等智慧化应用的建设提供可扩展的环境。保障了200个机柜、30台精密空调、应急管理中心、12345市长热线电力供应，达到国家节能要求，提高了市民对12345市长热线满意率，为全市政务资源管理、应用支撑、数据共享、服务保障提供了电力保障。</w:t>
      </w:r>
    </w:p>
    <w:p>
      <w:pPr>
        <w:widowControl/>
        <w:spacing w:line="600" w:lineRule="exact"/>
        <w:ind w:firstLine="632" w:firstLineChars="200"/>
        <w:rPr>
          <w:rFonts w:ascii="楷体_GB2312" w:hAnsi="仿宋" w:eastAsia="楷体_GB2312"/>
          <w:szCs w:val="32"/>
        </w:rPr>
      </w:pPr>
      <w:r>
        <w:rPr>
          <w:rFonts w:hint="eastAsia" w:ascii="楷体_GB2312" w:hAnsi="仿宋" w:eastAsia="楷体_GB2312"/>
          <w:szCs w:val="32"/>
        </w:rPr>
        <w:t>（三）绩效指标完成情况分析</w:t>
      </w:r>
    </w:p>
    <w:p>
      <w:pPr>
        <w:widowControl/>
        <w:spacing w:line="60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1.经济效益方面。通过安装LED节能全彩屏设备，在市直部门接入设备不断增加的情况下节省了电费支出。2.效率性方面。智慧益阳管理中心电费项目保障24小时内故障处理及时率达到100%，安全运行率达到100%，全年未出现安全事故。3.有效性方面。保障了市应急指挥大厅、12345市长热线、大数据中心机房等用电需求，提高了各部门工作效率。4.可持续性方面。智慧益阳管理中心电费项目关系到全市各部门业务数据的管理、安全运行，后续随着智慧城市和大数据的建设，该项目将继续保障数据机房、市长热线等用电安全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32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存在的问题和改进措施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随着市直部门接入机房设备不断增加，耗用电量逐年增长，需整合资源实现降费节能。改进措施：1、出台基础设施节能方案，提高设备容量利用率；2、降低机房能耗管理，高度整合、资源共享；3、对机房设备进行监控管理，优化管理模式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32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绩效自评结果拟应用和公开情况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我单位将继续认真履职，通过电费市场调研、电费成本监审、电费信息公开及宣传等相关工作，按市财政局要求完成绩效自评工作，并将自评结果运用于实际工作，将绩效自评结果进行公开。</w:t>
      </w:r>
    </w:p>
    <w:p>
      <w:pPr>
        <w:widowControl/>
        <w:spacing w:line="600" w:lineRule="exact"/>
        <w:ind w:firstLine="645"/>
        <w:jc w:val="left"/>
        <w:rPr>
          <w:rFonts w:ascii="仿宋" w:hAnsi="仿宋" w:eastAsia="仿宋"/>
          <w:szCs w:val="32"/>
        </w:rPr>
      </w:pPr>
    </w:p>
    <w:p>
      <w:pPr>
        <w:widowControl/>
        <w:spacing w:line="60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附件</w:t>
      </w:r>
      <w:r>
        <w:rPr>
          <w:rFonts w:ascii="仿宋_GB2312" w:hAnsi="仿宋"/>
          <w:szCs w:val="32"/>
        </w:rPr>
        <w:t>：2020年度项目支出绩效自评表</w:t>
      </w:r>
    </w:p>
    <w:p>
      <w:pPr>
        <w:widowControl/>
        <w:spacing w:line="600" w:lineRule="exact"/>
        <w:ind w:firstLine="632" w:firstLineChars="200"/>
        <w:rPr>
          <w:rFonts w:ascii="仿宋_GB2312" w:hAnsi="仿宋"/>
          <w:szCs w:val="32"/>
        </w:rPr>
      </w:pPr>
    </w:p>
    <w:p>
      <w:pPr>
        <w:widowControl/>
        <w:spacing w:line="600" w:lineRule="exact"/>
        <w:ind w:firstLine="632" w:firstLineChars="200"/>
        <w:rPr>
          <w:rFonts w:ascii="仿宋_GB2312" w:hAnsi="仿宋"/>
          <w:szCs w:val="32"/>
        </w:rPr>
      </w:pPr>
    </w:p>
    <w:p>
      <w:pPr>
        <w:widowControl/>
        <w:spacing w:line="600" w:lineRule="exact"/>
        <w:ind w:firstLine="632" w:firstLineChars="200"/>
        <w:rPr>
          <w:rFonts w:ascii="仿宋_GB2312" w:hAnsi="仿宋"/>
          <w:szCs w:val="32"/>
        </w:rPr>
      </w:pPr>
    </w:p>
    <w:p>
      <w:pPr>
        <w:widowControl/>
        <w:spacing w:line="600" w:lineRule="exact"/>
        <w:ind w:firstLine="632" w:firstLineChars="200"/>
        <w:rPr>
          <w:rFonts w:ascii="仿宋_GB2312" w:hAnsi="仿宋"/>
          <w:szCs w:val="32"/>
        </w:rPr>
      </w:pPr>
    </w:p>
    <w:p>
      <w:pPr>
        <w:widowControl/>
        <w:spacing w:line="600" w:lineRule="exact"/>
        <w:ind w:firstLine="632" w:firstLineChars="200"/>
        <w:rPr>
          <w:rFonts w:ascii="仿宋_GB2312" w:hAnsi="仿宋"/>
          <w:szCs w:val="32"/>
        </w:rPr>
      </w:pPr>
    </w:p>
    <w:p>
      <w:pPr>
        <w:widowControl/>
        <w:spacing w:line="600" w:lineRule="exact"/>
        <w:ind w:firstLine="632" w:firstLineChars="200"/>
        <w:rPr>
          <w:rFonts w:ascii="仿宋_GB2312" w:hAnsi="仿宋"/>
          <w:szCs w:val="32"/>
        </w:rPr>
      </w:pPr>
    </w:p>
    <w:p>
      <w:pPr>
        <w:widowControl/>
        <w:spacing w:line="600" w:lineRule="exact"/>
        <w:ind w:firstLine="632" w:firstLineChars="200"/>
        <w:rPr>
          <w:rFonts w:ascii="仿宋_GB2312" w:hAnsi="仿宋"/>
          <w:szCs w:val="32"/>
        </w:rPr>
      </w:pPr>
    </w:p>
    <w:p>
      <w:pPr>
        <w:widowControl/>
        <w:spacing w:line="600" w:lineRule="exact"/>
        <w:ind w:firstLine="632" w:firstLineChars="200"/>
        <w:rPr>
          <w:rFonts w:ascii="仿宋_GB2312" w:hAnsi="仿宋"/>
          <w:szCs w:val="32"/>
        </w:rPr>
      </w:pPr>
    </w:p>
    <w:p>
      <w:pPr>
        <w:widowControl/>
        <w:spacing w:line="600" w:lineRule="exact"/>
        <w:ind w:firstLine="632" w:firstLineChars="200"/>
        <w:rPr>
          <w:rFonts w:ascii="仿宋_GB2312" w:hAnsi="仿宋"/>
          <w:szCs w:val="32"/>
        </w:rPr>
      </w:pPr>
    </w:p>
    <w:p>
      <w:pPr>
        <w:widowControl/>
        <w:spacing w:line="600" w:lineRule="exact"/>
        <w:ind w:firstLine="632" w:firstLineChars="200"/>
        <w:rPr>
          <w:rFonts w:ascii="仿宋_GB2312" w:hAnsi="仿宋"/>
          <w:szCs w:val="32"/>
        </w:rPr>
      </w:pPr>
    </w:p>
    <w:p>
      <w:pPr>
        <w:widowControl/>
        <w:spacing w:line="600" w:lineRule="exact"/>
        <w:ind w:firstLine="632" w:firstLineChars="200"/>
        <w:rPr>
          <w:rFonts w:ascii="仿宋_GB2312" w:hAnsi="仿宋"/>
          <w:szCs w:val="32"/>
        </w:rPr>
      </w:pPr>
    </w:p>
    <w:p>
      <w:pPr>
        <w:widowControl/>
        <w:spacing w:line="600" w:lineRule="exact"/>
        <w:ind w:firstLine="632" w:firstLineChars="200"/>
        <w:rPr>
          <w:rFonts w:ascii="仿宋_GB2312" w:hAnsi="仿宋"/>
          <w:szCs w:val="32"/>
        </w:rPr>
      </w:pPr>
    </w:p>
    <w:p>
      <w:pPr>
        <w:widowControl/>
        <w:spacing w:line="400" w:lineRule="exact"/>
        <w:jc w:val="left"/>
        <w:rPr>
          <w:rFonts w:ascii="黑体" w:hAnsi="黑体" w:eastAsia="黑体"/>
          <w:sz w:val="30"/>
          <w:szCs w:val="30"/>
        </w:rPr>
      </w:pPr>
    </w:p>
    <w:p>
      <w:pPr>
        <w:spacing w:line="400" w:lineRule="exact"/>
        <w:jc w:val="center"/>
        <w:rPr>
          <w:rFonts w:ascii="方正小标宋简体" w:eastAsia="方正小标宋简体"/>
          <w:kern w:val="0"/>
          <w:sz w:val="30"/>
          <w:szCs w:val="30"/>
        </w:rPr>
      </w:pPr>
    </w:p>
    <w:p>
      <w:pPr>
        <w:spacing w:line="400" w:lineRule="exact"/>
        <w:jc w:val="center"/>
        <w:rPr>
          <w:rFonts w:ascii="方正小标宋简体" w:eastAsia="方正小标宋简体"/>
          <w:kern w:val="0"/>
          <w:sz w:val="30"/>
          <w:szCs w:val="30"/>
        </w:rPr>
      </w:pPr>
      <w:r>
        <w:rPr>
          <w:rFonts w:ascii="方正小标宋简体" w:eastAsia="方正小标宋简体"/>
          <w:kern w:val="0"/>
          <w:sz w:val="30"/>
          <w:szCs w:val="30"/>
        </w:rPr>
        <w:t>2020年度项目支出绩效自评表</w:t>
      </w:r>
    </w:p>
    <w:tbl>
      <w:tblPr>
        <w:tblStyle w:val="5"/>
        <w:tblW w:w="100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080"/>
        <w:gridCol w:w="1080"/>
        <w:gridCol w:w="1224"/>
        <w:gridCol w:w="1134"/>
        <w:gridCol w:w="1134"/>
        <w:gridCol w:w="828"/>
        <w:gridCol w:w="873"/>
        <w:gridCol w:w="1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89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智慧益阳管理中心电费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益阳市行政审批服务局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32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益阳市智慧城市和大数据中心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项目资金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执行率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18" w:firstLineChars="300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18" w:firstLineChars="300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保障智慧城市建设项目电力供应，提高政府服务能力，为后续政府治理、普惠民生、产业升级等智慧化应用的建设提供可扩展的环境。</w:t>
            </w: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保障了200个机柜、30台精密空调、应急管理中心、12345市长热线电力供应，达到国家节能要求，提高了市民对12345市长热线满意率，为全市政务资源管理、应用支撑、数据共享、服务保障提供了电力保障。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保障机柜电力供应数：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保障精密空调电力供应数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照明灯数：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保障12345市长热线电力供应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06" w:firstLineChars="100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为全市政务资源管理、应用支撑、数据共享、服务保障提供电力保障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保障应急管理中心电力供应：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24小时内故障处理及时率：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降低成本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电费控制在预算范围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电量节能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4%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市直部门接入机房设备不断增加，耗用电量增长，需整合资源实现节能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安全事故率：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重大会议正常运转率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达到国家节能要求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99%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加强节能宣传，提高节能意识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可持续影响指标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(10分)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用电场所办公率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维护反应速度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加强对运维队伍管理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市民对12345市长热线满意率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加强服务意识，加强绩效考核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6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r>
        <w:rPr>
          <w:rFonts w:ascii="Times New Roman" w:hAnsi="Times New Roman"/>
          <w:kern w:val="0"/>
          <w:sz w:val="22"/>
          <w:szCs w:val="22"/>
        </w:rPr>
        <w:t>填表人：</w:t>
      </w:r>
      <w:r>
        <w:rPr>
          <w:rFonts w:hint="eastAsia" w:ascii="Times New Roman" w:hAnsi="Times New Roman"/>
          <w:kern w:val="0"/>
          <w:sz w:val="22"/>
          <w:szCs w:val="22"/>
        </w:rPr>
        <w:t xml:space="preserve">黄锦锦   </w:t>
      </w:r>
      <w:r>
        <w:rPr>
          <w:rFonts w:ascii="Times New Roman" w:hAnsi="Times New Roman"/>
          <w:kern w:val="0"/>
          <w:sz w:val="22"/>
          <w:szCs w:val="22"/>
        </w:rPr>
        <w:t>填报日期：</w:t>
      </w:r>
      <w:r>
        <w:rPr>
          <w:rFonts w:hint="eastAsia" w:ascii="Times New Roman" w:hAnsi="Times New Roman"/>
          <w:kern w:val="0"/>
          <w:sz w:val="22"/>
          <w:szCs w:val="22"/>
        </w:rPr>
        <w:t xml:space="preserve">4月12日  </w:t>
      </w:r>
      <w:r>
        <w:rPr>
          <w:rFonts w:ascii="Times New Roman" w:hAnsi="Times New Roman"/>
          <w:kern w:val="0"/>
          <w:sz w:val="22"/>
          <w:szCs w:val="22"/>
        </w:rPr>
        <w:t xml:space="preserve"> 联系电话：</w:t>
      </w:r>
      <w:r>
        <w:rPr>
          <w:rFonts w:hint="eastAsia" w:ascii="Times New Roman" w:hAnsi="Times New Roman"/>
          <w:kern w:val="0"/>
          <w:sz w:val="22"/>
          <w:szCs w:val="22"/>
        </w:rPr>
        <w:t>0737-6206182</w:t>
      </w:r>
      <w:r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hint="eastAsia"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单位负责人签</w:t>
      </w:r>
      <w:r>
        <w:rPr>
          <w:rFonts w:hint="eastAsia" w:ascii="Times New Roman" w:hAnsi="Times New Roman"/>
          <w:kern w:val="0"/>
          <w:sz w:val="22"/>
          <w:szCs w:val="22"/>
        </w:rPr>
        <w:t>字：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sz w:val="28"/>
      </w:rPr>
    </w:pPr>
    <w:r>
      <w:rPr>
        <w:sz w:val="2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ind w:right="335"/>
                  <w:rPr>
                    <w:rStyle w:val="8"/>
                    <w:rFonts w:ascii="宋体" w:hAnsi="宋体" w:eastAsia="宋体"/>
                    <w:sz w:val="28"/>
                  </w:rPr>
                </w:pPr>
                <w:r>
                  <w:rPr>
                    <w:rStyle w:val="8"/>
                    <w:rFonts w:hint="eastAsia"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Style w:val="8"/>
                    <w:rFonts w:ascii="宋体" w:hAnsi="宋体" w:eastAsia="宋体"/>
                    <w:sz w:val="28"/>
                  </w:rPr>
                  <w:instrText xml:space="preserve">PAGE 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Style w:val="8"/>
                    <w:rFonts w:ascii="宋体" w:hAnsi="宋体" w:eastAsia="宋体"/>
                    <w:sz w:val="28"/>
                  </w:rPr>
                  <w:t>6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Style w:val="8"/>
                    <w:rFonts w:hint="eastAsia"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35"/>
      <w:rPr>
        <w:rStyle w:val="8"/>
        <w:rFonts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8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>
    <w:pPr>
      <w:pStyle w:val="2"/>
      <w:ind w:left="300" w:right="360" w:firstLine="360"/>
      <w:rPr>
        <w:sz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F2C08"/>
    <w:multiLevelType w:val="singleLevel"/>
    <w:tmpl w:val="BCCF2C08"/>
    <w:lvl w:ilvl="0" w:tentative="0">
      <w:start w:val="4"/>
      <w:numFmt w:val="chineseCounting"/>
      <w:suff w:val="nothing"/>
      <w:lvlText w:val="%1、"/>
      <w:lvlJc w:val="left"/>
      <w:pPr>
        <w:ind w:left="-2"/>
      </w:pPr>
      <w:rPr>
        <w:rFonts w:hint="eastAsia"/>
      </w:rPr>
    </w:lvl>
  </w:abstractNum>
  <w:abstractNum w:abstractNumId="1">
    <w:nsid w:val="19A92EF1"/>
    <w:multiLevelType w:val="singleLevel"/>
    <w:tmpl w:val="19A92EF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452689D"/>
    <w:multiLevelType w:val="singleLevel"/>
    <w:tmpl w:val="4452689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B02913A"/>
    <w:multiLevelType w:val="singleLevel"/>
    <w:tmpl w:val="6B02913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A5371EC"/>
    <w:rsid w:val="00186EB5"/>
    <w:rsid w:val="009B2259"/>
    <w:rsid w:val="021E4C16"/>
    <w:rsid w:val="03392ECB"/>
    <w:rsid w:val="0EF254B7"/>
    <w:rsid w:val="0F5B672C"/>
    <w:rsid w:val="12256348"/>
    <w:rsid w:val="16374CFC"/>
    <w:rsid w:val="16D0189C"/>
    <w:rsid w:val="16E00E81"/>
    <w:rsid w:val="1E6C3CB2"/>
    <w:rsid w:val="2154073D"/>
    <w:rsid w:val="22ED0C96"/>
    <w:rsid w:val="24FD75E9"/>
    <w:rsid w:val="2555342B"/>
    <w:rsid w:val="274C283B"/>
    <w:rsid w:val="293E26DE"/>
    <w:rsid w:val="3409071F"/>
    <w:rsid w:val="34FA2464"/>
    <w:rsid w:val="35185C8B"/>
    <w:rsid w:val="3A5371EC"/>
    <w:rsid w:val="3D366C06"/>
    <w:rsid w:val="44147CCE"/>
    <w:rsid w:val="45C93BA6"/>
    <w:rsid w:val="46DF79DD"/>
    <w:rsid w:val="4F675498"/>
    <w:rsid w:val="530D0CA9"/>
    <w:rsid w:val="54995ADF"/>
    <w:rsid w:val="59240440"/>
    <w:rsid w:val="5E213478"/>
    <w:rsid w:val="5E910628"/>
    <w:rsid w:val="624E4651"/>
    <w:rsid w:val="63604AB4"/>
    <w:rsid w:val="63BB57EE"/>
    <w:rsid w:val="733C603E"/>
    <w:rsid w:val="78A77C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333333"/>
      <w:u w:val="none"/>
    </w:rPr>
  </w:style>
  <w:style w:type="character" w:styleId="10">
    <w:name w:val="Emphasis"/>
    <w:basedOn w:val="6"/>
    <w:qFormat/>
    <w:uiPriority w:val="0"/>
  </w:style>
  <w:style w:type="character" w:styleId="11">
    <w:name w:val="Hyperlink"/>
    <w:basedOn w:val="6"/>
    <w:qFormat/>
    <w:uiPriority w:val="0"/>
    <w:rPr>
      <w:color w:val="333333"/>
      <w:u w:val="none"/>
    </w:rPr>
  </w:style>
  <w:style w:type="character" w:styleId="12">
    <w:name w:val="HTML Code"/>
    <w:basedOn w:val="6"/>
    <w:qFormat/>
    <w:uiPriority w:val="0"/>
    <w:rPr>
      <w:rFonts w:ascii="Courier New" w:hAnsi="Courier New"/>
      <w:sz w:val="20"/>
    </w:rPr>
  </w:style>
  <w:style w:type="character" w:customStyle="1" w:styleId="13">
    <w:name w:val="time"/>
    <w:basedOn w:val="6"/>
    <w:qFormat/>
    <w:uiPriority w:val="0"/>
    <w:rPr>
      <w:color w:val="999999"/>
      <w:sz w:val="18"/>
      <w:szCs w:val="18"/>
    </w:rPr>
  </w:style>
  <w:style w:type="character" w:customStyle="1" w:styleId="14">
    <w:name w:val="time1"/>
    <w:basedOn w:val="6"/>
    <w:qFormat/>
    <w:uiPriority w:val="0"/>
    <w:rPr>
      <w:shd w:val="clear" w:color="auto" w:fill="F5F7FB"/>
    </w:rPr>
  </w:style>
  <w:style w:type="character" w:customStyle="1" w:styleId="15">
    <w:name w:val="time2"/>
    <w:basedOn w:val="6"/>
    <w:qFormat/>
    <w:uiPriority w:val="0"/>
    <w:rPr>
      <w:color w:val="888888"/>
    </w:rPr>
  </w:style>
  <w:style w:type="character" w:customStyle="1" w:styleId="16">
    <w:name w:val="time3"/>
    <w:basedOn w:val="6"/>
    <w:qFormat/>
    <w:uiPriority w:val="0"/>
    <w:rPr>
      <w:color w:val="888888"/>
    </w:rPr>
  </w:style>
  <w:style w:type="character" w:customStyle="1" w:styleId="17">
    <w:name w:val="time4"/>
    <w:basedOn w:val="6"/>
    <w:qFormat/>
    <w:uiPriority w:val="0"/>
    <w:rPr>
      <w:color w:val="888888"/>
    </w:rPr>
  </w:style>
  <w:style w:type="character" w:customStyle="1" w:styleId="18">
    <w:name w:val="hover25"/>
    <w:basedOn w:val="6"/>
    <w:qFormat/>
    <w:uiPriority w:val="0"/>
    <w:rPr>
      <w:color w:val="000000"/>
      <w:shd w:val="clear" w:color="auto" w:fill="FFFFFF"/>
    </w:rPr>
  </w:style>
  <w:style w:type="character" w:customStyle="1" w:styleId="19">
    <w:name w:val="wx-space"/>
    <w:basedOn w:val="6"/>
    <w:qFormat/>
    <w:uiPriority w:val="0"/>
  </w:style>
  <w:style w:type="character" w:customStyle="1" w:styleId="20">
    <w:name w:val="wx-space1"/>
    <w:basedOn w:val="6"/>
    <w:qFormat/>
    <w:uiPriority w:val="0"/>
  </w:style>
  <w:style w:type="character" w:customStyle="1" w:styleId="21">
    <w:name w:val="hover"/>
    <w:basedOn w:val="6"/>
    <w:qFormat/>
    <w:uiPriority w:val="0"/>
    <w:rPr>
      <w:color w:val="000000"/>
      <w:shd w:val="clear" w:color="auto" w:fill="FFFFFF"/>
    </w:rPr>
  </w:style>
  <w:style w:type="character" w:customStyle="1" w:styleId="22">
    <w:name w:val="页眉 Char"/>
    <w:basedOn w:val="6"/>
    <w:link w:val="3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2311</Words>
  <Characters>538</Characters>
  <Lines>4</Lines>
  <Paragraphs>5</Paragraphs>
  <TotalTime>2</TotalTime>
  <ScaleCrop>false</ScaleCrop>
  <LinksUpToDate>false</LinksUpToDate>
  <CharactersWithSpaces>2844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2021-03-30T03:11:00Z</dcterms:created>
  <dc:creator>Administrator</dc:creator>
  <cp:lastModifiedBy>Administrator</cp:lastModifiedBy>
  <cp:lastPrinted>2021-04-14T02:30:50Z</cp:lastPrinted>
  <dcterms:modified xsi:type="dcterms:W3CDTF">2021-04-14T02:31:54Z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F8ED1EBFEB314E5193887A11CBB42A56</vt:lpwstr>
  </property>
</Properties>
</file>