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益阳市疾病预防控制中心</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 xml:space="preserve">益阳市疾病预防控制中心      </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widowControl/>
        <w:shd w:val="clear" w:color="auto" w:fill="FFFFFF"/>
        <w:spacing w:before="120" w:line="336" w:lineRule="atLeast"/>
        <w:jc w:val="left"/>
        <w:rPr>
          <w:rFonts w:ascii="仿宋" w:hAnsi="仿宋" w:eastAsia="仿宋" w:cs="宋体"/>
          <w:color w:val="333333"/>
          <w:kern w:val="0"/>
          <w:sz w:val="32"/>
          <w:szCs w:val="32"/>
        </w:rPr>
      </w:pPr>
      <w:r>
        <w:rPr>
          <w:rFonts w:hint="eastAsia" w:ascii="仿宋" w:hAnsi="仿宋" w:eastAsia="仿宋" w:cs="宋体"/>
          <w:color w:val="484848"/>
          <w:kern w:val="0"/>
          <w:sz w:val="32"/>
          <w:szCs w:val="32"/>
        </w:rPr>
        <w:t xml:space="preserve">     益阳市疾病预防控制中心成立于2003年5月，系原益阳市卫生防疫站撤建而成。经批准加挂益阳市公共卫生检验检测中心和国家食品安全风险监测湖南中心益阳分中心两块牌子。作为政府设置履行公共卫生职能的全额拨款公益性事业单位，主要职责是：实施全市疾病预防控制规划、方案，对重大疾病流行趋势进行监测与预测预警，组织实施免疫规划工作，负责儿童计划免疫和预防用生物制品的使用管理；指导和开展重大突发公共卫生事件调查与处置，组织开展食品卫生、学校卫生、职业卫生、放射卫生和环境卫生等公共卫生领域健康危害因素监测、危险性评价和预警工作，承担卫生监督执法检验检测及技术仲裁工作以及市内职业病诊断鉴定工作。</w:t>
      </w:r>
      <w:r>
        <w:rPr>
          <w:rFonts w:ascii="仿宋" w:hAnsi="仿宋" w:eastAsia="仿宋" w:cs="宋体"/>
          <w:color w:val="333333"/>
          <w:kern w:val="0"/>
          <w:sz w:val="32"/>
          <w:szCs w:val="32"/>
        </w:rPr>
        <w:t xml:space="preserve"> </w:t>
      </w:r>
    </w:p>
    <w:p>
      <w:pPr>
        <w:widowControl/>
        <w:shd w:val="clear" w:color="auto" w:fill="FFFFFF"/>
        <w:spacing w:before="12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二、机构设置</w:t>
      </w:r>
    </w:p>
    <w:p>
      <w:pPr>
        <w:widowControl/>
        <w:shd w:val="clear" w:color="auto" w:fill="FFFFFF"/>
        <w:spacing w:before="120"/>
        <w:jc w:val="left"/>
        <w:rPr>
          <w:rFonts w:ascii="仿宋" w:hAnsi="仿宋" w:eastAsia="仿宋" w:cs="宋体"/>
          <w:color w:val="333333"/>
          <w:kern w:val="0"/>
          <w:sz w:val="32"/>
          <w:szCs w:val="32"/>
        </w:rPr>
      </w:pPr>
      <w:r>
        <w:rPr>
          <w:rFonts w:hint="eastAsia" w:ascii="宋体" w:hAnsi="宋体" w:eastAsia="宋体" w:cs="宋体"/>
          <w:color w:val="333333"/>
          <w:kern w:val="0"/>
          <w:sz w:val="28"/>
          <w:szCs w:val="28"/>
        </w:rPr>
        <w:t xml:space="preserve">    </w:t>
      </w:r>
      <w:r>
        <w:rPr>
          <w:rFonts w:hint="eastAsia" w:ascii="仿宋" w:hAnsi="仿宋" w:eastAsia="仿宋" w:cs="宋体"/>
          <w:color w:val="333333"/>
          <w:kern w:val="0"/>
          <w:sz w:val="32"/>
          <w:szCs w:val="32"/>
        </w:rPr>
        <w:t>内设：办公室，急性传染病防治科，慢性非传染性疾病防治科，结核病防治科，免疫规划科，职业病防治科，检验检测科，血吸虫病防治科，性病艾滋病防治科，食品安全风险监测科（病媒生物监测科），质量管理科，学校卫生科。</w:t>
      </w:r>
    </w:p>
    <w:p>
      <w:pPr>
        <w:ind w:left="795" w:hanging="795"/>
        <w:jc w:val="left"/>
        <w:rPr>
          <w:rFonts w:ascii="黑体" w:hAnsi="黑体" w:eastAsia="黑体" w:cs="黑体"/>
          <w:sz w:val="32"/>
        </w:rPr>
      </w:pPr>
      <w:r>
        <w:rPr>
          <w:rFonts w:ascii="黑体" w:hAnsi="黑体" w:eastAsia="黑体" w:cs="黑体"/>
          <w:sz w:val="32"/>
        </w:rPr>
        <w:t>三、部门决算单位构成</w:t>
      </w:r>
    </w:p>
    <w:p>
      <w:pPr>
        <w:widowControl/>
        <w:shd w:val="clear" w:color="auto" w:fill="FFFFFF"/>
        <w:spacing w:before="120" w:line="336" w:lineRule="atLeast"/>
        <w:ind w:firstLine="336"/>
        <w:jc w:val="left"/>
        <w:rPr>
          <w:rFonts w:ascii="仿宋" w:hAnsi="仿宋" w:eastAsia="仿宋" w:cs="宋体"/>
          <w:color w:val="333333"/>
          <w:kern w:val="0"/>
          <w:sz w:val="32"/>
          <w:szCs w:val="32"/>
        </w:rPr>
      </w:pPr>
      <w:r>
        <w:rPr>
          <w:rFonts w:hint="eastAsia" w:ascii="仿宋" w:hAnsi="仿宋" w:eastAsia="仿宋" w:cs="宋体"/>
          <w:color w:val="484848"/>
          <w:kern w:val="0"/>
          <w:sz w:val="32"/>
          <w:szCs w:val="32"/>
        </w:rPr>
        <w:t>从决算单位构成看，益阳市疾病预防控制中心部门决算包括：益阳市疾病预防控制中心部门决算。</w:t>
      </w:r>
    </w:p>
    <w:tbl>
      <w:tblPr>
        <w:tblStyle w:val="4"/>
        <w:tblW w:w="8322" w:type="dxa"/>
        <w:jc w:val="center"/>
        <w:tblLayout w:type="autofit"/>
        <w:tblCellMar>
          <w:top w:w="15" w:type="dxa"/>
          <w:left w:w="15" w:type="dxa"/>
          <w:bottom w:w="15" w:type="dxa"/>
          <w:right w:w="15" w:type="dxa"/>
        </w:tblCellMar>
      </w:tblPr>
      <w:tblGrid>
        <w:gridCol w:w="2192"/>
        <w:gridCol w:w="6130"/>
      </w:tblGrid>
      <w:tr>
        <w:tblPrEx>
          <w:tblCellMar>
            <w:top w:w="15" w:type="dxa"/>
            <w:left w:w="15" w:type="dxa"/>
            <w:bottom w:w="15" w:type="dxa"/>
            <w:right w:w="15" w:type="dxa"/>
          </w:tblCellMar>
        </w:tblPrEx>
        <w:trPr>
          <w:jc w:val="center"/>
        </w:trPr>
        <w:tc>
          <w:tcPr>
            <w:tcW w:w="2192" w:type="dxa"/>
            <w:tcBorders>
              <w:top w:val="inset" w:color="000000" w:sz="8" w:space="0"/>
              <w:left w:val="inset" w:color="000000" w:sz="8" w:space="0"/>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序号</w:t>
            </w:r>
          </w:p>
        </w:tc>
        <w:tc>
          <w:tcPr>
            <w:tcW w:w="6130" w:type="dxa"/>
            <w:tcBorders>
              <w:top w:val="inset" w:color="000000" w:sz="8" w:space="0"/>
              <w:left w:val="nil"/>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单位名称</w:t>
            </w:r>
          </w:p>
        </w:tc>
      </w:tr>
      <w:tr>
        <w:tblPrEx>
          <w:tblCellMar>
            <w:top w:w="15" w:type="dxa"/>
            <w:left w:w="15" w:type="dxa"/>
            <w:bottom w:w="15" w:type="dxa"/>
            <w:right w:w="15" w:type="dxa"/>
          </w:tblCellMar>
        </w:tblPrEx>
        <w:trPr>
          <w:jc w:val="center"/>
        </w:trPr>
        <w:tc>
          <w:tcPr>
            <w:tcW w:w="2192" w:type="dxa"/>
            <w:tcBorders>
              <w:top w:val="nil"/>
              <w:left w:val="inset" w:color="000000" w:sz="8" w:space="0"/>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1</w:t>
            </w:r>
          </w:p>
        </w:tc>
        <w:tc>
          <w:tcPr>
            <w:tcW w:w="6130" w:type="dxa"/>
            <w:tcBorders>
              <w:top w:val="nil"/>
              <w:left w:val="nil"/>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益阳市疾病预防控制中心</w:t>
            </w:r>
          </w:p>
        </w:tc>
      </w:tr>
    </w:tbl>
    <w:p>
      <w:pPr>
        <w:rPr>
          <w:rFonts w:ascii="仿宋" w:hAnsi="仿宋" w:eastAsia="仿宋" w:cs="仿宋"/>
          <w:sz w:val="32"/>
        </w:rPr>
      </w:pPr>
    </w:p>
    <w:p>
      <w:pPr>
        <w:widowControl/>
        <w:shd w:val="clear" w:color="auto" w:fill="FFFFFF"/>
        <w:spacing w:before="120"/>
        <w:ind w:firstLine="336"/>
        <w:jc w:val="center"/>
        <w:rPr>
          <w:rFonts w:ascii="微软雅黑" w:hAnsi="微软雅黑" w:eastAsia="微软雅黑" w:cs="宋体"/>
          <w:color w:val="333333"/>
          <w:kern w:val="0"/>
          <w:sz w:val="17"/>
          <w:szCs w:val="17"/>
        </w:rPr>
      </w:pPr>
      <w:r>
        <w:rPr>
          <w:rFonts w:hint="eastAsia" w:ascii="宋体" w:hAnsi="宋体" w:eastAsia="宋体" w:cs="宋体"/>
          <w:color w:val="333333"/>
          <w:kern w:val="0"/>
          <w:sz w:val="44"/>
          <w:szCs w:val="44"/>
        </w:rPr>
        <w:t>第二部分</w:t>
      </w:r>
      <w:r>
        <w:rPr>
          <w:rFonts w:hint="eastAsia" w:ascii="方正小标宋_GBK" w:hAnsi="微软雅黑" w:eastAsia="方正小标宋_GBK" w:cs="宋体"/>
          <w:color w:val="333333"/>
          <w:kern w:val="0"/>
          <w:sz w:val="44"/>
          <w:szCs w:val="44"/>
        </w:rPr>
        <w:t> </w:t>
      </w:r>
      <w:r>
        <w:rPr>
          <w:rFonts w:hint="eastAsia" w:ascii="宋体" w:hAnsi="宋体" w:eastAsia="宋体" w:cs="宋体"/>
          <w:color w:val="333333"/>
          <w:kern w:val="0"/>
          <w:sz w:val="44"/>
          <w:szCs w:val="44"/>
        </w:rPr>
        <w:t>益阳市疾病预防控制中心  2019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widowControl/>
        <w:shd w:val="clear" w:color="auto" w:fill="FFFFFF"/>
        <w:spacing w:before="120" w:line="336" w:lineRule="atLeast"/>
        <w:ind w:firstLine="480"/>
        <w:jc w:val="left"/>
        <w:rPr>
          <w:rFonts w:ascii="仿宋" w:hAnsi="仿宋" w:eastAsia="仿宋" w:cs="宋体"/>
          <w:color w:val="484848"/>
          <w:kern w:val="0"/>
          <w:sz w:val="32"/>
          <w:szCs w:val="32"/>
        </w:rPr>
      </w:pPr>
      <w:r>
        <w:rPr>
          <w:rFonts w:hint="eastAsia" w:ascii="仿宋" w:hAnsi="仿宋" w:eastAsia="仿宋" w:cs="宋体"/>
          <w:color w:val="484848"/>
          <w:kern w:val="0"/>
          <w:sz w:val="32"/>
          <w:szCs w:val="32"/>
        </w:rPr>
        <w:t>说明：益阳市疾病预防控制中心无政府性基金收入，无政府性基金安排的支出，也没有一般公共预算财政拨款“三公”经费支出的预算与支出,故表七、表八无数据。</w:t>
      </w:r>
    </w:p>
    <w:p>
      <w:pPr>
        <w:ind w:firstLine="640"/>
        <w:jc w:val="left"/>
        <w:rPr>
          <w:rFonts w:ascii="仿宋" w:hAnsi="仿宋" w:eastAsia="仿宋" w:cs="仿宋"/>
          <w:sz w:val="32"/>
        </w:rPr>
      </w:pPr>
    </w:p>
    <w:p>
      <w:pPr>
        <w:widowControl/>
        <w:shd w:val="clear" w:color="auto" w:fill="FFFFFF"/>
        <w:spacing w:before="120"/>
        <w:ind w:firstLine="336"/>
        <w:jc w:val="center"/>
        <w:rPr>
          <w:rFonts w:ascii="宋体" w:hAnsi="宋体" w:eastAsia="宋体" w:cs="宋体"/>
          <w:color w:val="333333"/>
          <w:kern w:val="0"/>
          <w:sz w:val="44"/>
          <w:szCs w:val="44"/>
        </w:rPr>
      </w:pPr>
      <w:r>
        <w:rPr>
          <w:rFonts w:hint="eastAsia" w:ascii="宋体" w:hAnsi="宋体" w:eastAsia="宋体" w:cs="宋体"/>
          <w:color w:val="333333"/>
          <w:kern w:val="0"/>
          <w:sz w:val="44"/>
          <w:szCs w:val="44"/>
        </w:rPr>
        <w:t>第三部分</w:t>
      </w:r>
    </w:p>
    <w:p>
      <w:pPr>
        <w:jc w:val="center"/>
        <w:rPr>
          <w:rFonts w:ascii="方正小标宋_GBK" w:hAnsi="方正小标宋_GBK" w:eastAsia="方正小标宋_GBK" w:cs="方正小标宋_GBK"/>
          <w:sz w:val="44"/>
        </w:rPr>
      </w:pPr>
      <w:r>
        <w:rPr>
          <w:rFonts w:hint="eastAsia" w:cs="方正小标宋_GBK" w:asciiTheme="majorEastAsia" w:hAnsiTheme="majorEastAsia" w:eastAsiaTheme="majorEastAsia"/>
          <w:sz w:val="44"/>
        </w:rPr>
        <w:t>益阳市疾病预防控制中心</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益阳市疾病预防控制中心</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本</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1794.21</w:t>
      </w:r>
      <w:r>
        <w:rPr>
          <w:rFonts w:ascii="仿宋" w:hAnsi="仿宋" w:eastAsia="仿宋" w:cs="仿宋"/>
          <w:sz w:val="32"/>
        </w:rPr>
        <w:t>万元，比上年同期</w:t>
      </w:r>
      <w:r>
        <w:rPr>
          <w:rFonts w:hint="eastAsia" w:ascii="仿宋" w:hAnsi="仿宋" w:eastAsia="仿宋" w:cs="仿宋"/>
          <w:sz w:val="32"/>
        </w:rPr>
        <w:t>增加128.93</w:t>
      </w:r>
      <w:r>
        <w:rPr>
          <w:rFonts w:ascii="仿宋" w:hAnsi="仿宋" w:eastAsia="仿宋" w:cs="仿宋"/>
          <w:sz w:val="32"/>
        </w:rPr>
        <w:t>万元，</w:t>
      </w:r>
      <w:r>
        <w:rPr>
          <w:rFonts w:hint="eastAsia" w:ascii="仿宋" w:hAnsi="仿宋" w:eastAsia="仿宋" w:cs="仿宋"/>
          <w:sz w:val="32"/>
        </w:rPr>
        <w:t>增长7.74</w:t>
      </w:r>
      <w:r>
        <w:rPr>
          <w:rFonts w:ascii="仿宋" w:hAnsi="仿宋" w:eastAsia="仿宋" w:cs="仿宋"/>
          <w:sz w:val="32"/>
        </w:rPr>
        <w:t>%；支出总计</w:t>
      </w:r>
      <w:r>
        <w:rPr>
          <w:rFonts w:hint="eastAsia" w:ascii="仿宋" w:hAnsi="仿宋" w:eastAsia="仿宋" w:cs="仿宋"/>
          <w:sz w:val="32"/>
        </w:rPr>
        <w:t>1902.57</w:t>
      </w:r>
      <w:r>
        <w:rPr>
          <w:rFonts w:ascii="仿宋" w:hAnsi="仿宋" w:eastAsia="仿宋" w:cs="仿宋"/>
          <w:sz w:val="32"/>
        </w:rPr>
        <w:t>万元，比上年同期减少</w:t>
      </w:r>
      <w:r>
        <w:rPr>
          <w:rFonts w:hint="eastAsia" w:ascii="仿宋" w:hAnsi="仿宋" w:eastAsia="仿宋" w:cs="仿宋"/>
          <w:sz w:val="32"/>
        </w:rPr>
        <w:t>47</w:t>
      </w:r>
      <w:r>
        <w:rPr>
          <w:rFonts w:ascii="仿宋" w:hAnsi="仿宋" w:eastAsia="仿宋" w:cs="仿宋"/>
          <w:sz w:val="32"/>
        </w:rPr>
        <w:t>万元，下降</w:t>
      </w:r>
      <w:r>
        <w:rPr>
          <w:rFonts w:hint="eastAsia" w:ascii="仿宋" w:hAnsi="仿宋" w:eastAsia="仿宋" w:cs="仿宋"/>
          <w:sz w:val="32"/>
        </w:rPr>
        <w:t>2.41</w:t>
      </w:r>
      <w:r>
        <w:rPr>
          <w:rFonts w:ascii="仿宋" w:hAnsi="仿宋" w:eastAsia="仿宋" w:cs="仿宋"/>
          <w:sz w:val="32"/>
        </w:rPr>
        <w:t>%。主要原因：</w:t>
      </w:r>
      <w:r>
        <w:rPr>
          <w:rFonts w:hint="eastAsia" w:ascii="仿宋" w:hAnsi="仿宋" w:eastAsia="仿宋" w:cs="仿宋"/>
          <w:sz w:val="32"/>
        </w:rPr>
        <w:t>相比2018年财政应返还额度增加,导致当年支出减少。</w:t>
      </w:r>
    </w:p>
    <w:p>
      <w:pPr>
        <w:ind w:firstLine="64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1794.21</w:t>
      </w:r>
      <w:r>
        <w:rPr>
          <w:rFonts w:ascii="仿宋" w:hAnsi="仿宋" w:eastAsia="仿宋" w:cs="仿宋"/>
          <w:sz w:val="32"/>
        </w:rPr>
        <w:t xml:space="preserve"> 万元，其中：财政拨款收入</w:t>
      </w:r>
      <w:r>
        <w:rPr>
          <w:rFonts w:hint="eastAsia" w:ascii="仿宋" w:hAnsi="仿宋" w:eastAsia="仿宋" w:cs="仿宋"/>
          <w:sz w:val="32"/>
        </w:rPr>
        <w:t>1646.06</w:t>
      </w:r>
      <w:r>
        <w:rPr>
          <w:rFonts w:ascii="仿宋" w:hAnsi="仿宋" w:eastAsia="仿宋" w:cs="仿宋"/>
          <w:sz w:val="32"/>
        </w:rPr>
        <w:t xml:space="preserve">万元，占 </w:t>
      </w:r>
      <w:r>
        <w:rPr>
          <w:rFonts w:hint="eastAsia" w:ascii="仿宋" w:hAnsi="仿宋" w:eastAsia="仿宋" w:cs="仿宋"/>
          <w:sz w:val="32"/>
        </w:rPr>
        <w:t>91.74</w:t>
      </w:r>
      <w:r>
        <w:rPr>
          <w:rFonts w:ascii="仿宋" w:hAnsi="仿宋" w:eastAsia="仿宋" w:cs="仿宋"/>
          <w:sz w:val="32"/>
        </w:rPr>
        <w:t>%；事业收入</w:t>
      </w:r>
      <w:r>
        <w:rPr>
          <w:rFonts w:hint="eastAsia" w:ascii="仿宋" w:hAnsi="仿宋" w:eastAsia="仿宋" w:cs="仿宋"/>
          <w:sz w:val="32"/>
        </w:rPr>
        <w:t>145.83</w:t>
      </w:r>
      <w:r>
        <w:rPr>
          <w:rFonts w:ascii="仿宋" w:hAnsi="仿宋" w:eastAsia="仿宋" w:cs="仿宋"/>
          <w:sz w:val="32"/>
        </w:rPr>
        <w:t xml:space="preserve"> 万元，占 </w:t>
      </w:r>
      <w:r>
        <w:rPr>
          <w:rFonts w:hint="eastAsia" w:ascii="仿宋" w:hAnsi="仿宋" w:eastAsia="仿宋" w:cs="仿宋"/>
          <w:sz w:val="32"/>
        </w:rPr>
        <w:t>8.13</w:t>
      </w:r>
      <w:r>
        <w:rPr>
          <w:rFonts w:ascii="仿宋" w:hAnsi="仿宋" w:eastAsia="仿宋" w:cs="仿宋"/>
          <w:sz w:val="32"/>
        </w:rPr>
        <w:t>%；</w:t>
      </w:r>
      <w:r>
        <w:rPr>
          <w:rFonts w:hint="eastAsia" w:ascii="仿宋" w:hAnsi="仿宋" w:eastAsia="仿宋" w:cs="仿宋"/>
          <w:sz w:val="32"/>
        </w:rPr>
        <w:t>上级补助收入2.33万元</w:t>
      </w:r>
      <w:r>
        <w:rPr>
          <w:rFonts w:ascii="仿宋" w:hAnsi="仿宋" w:eastAsia="仿宋" w:cs="仿宋"/>
          <w:sz w:val="32"/>
        </w:rPr>
        <w:t>，占</w:t>
      </w:r>
      <w:r>
        <w:rPr>
          <w:rFonts w:hint="eastAsia" w:ascii="仿宋" w:hAnsi="仿宋" w:eastAsia="仿宋" w:cs="仿宋"/>
          <w:sz w:val="32"/>
        </w:rPr>
        <w:t>0.13</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ind w:firstLine="64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 xml:space="preserve">益阳市疾病预防控制中心 </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1902.57</w:t>
      </w:r>
      <w:r>
        <w:rPr>
          <w:rFonts w:ascii="仿宋" w:hAnsi="仿宋" w:eastAsia="仿宋" w:cs="仿宋"/>
          <w:sz w:val="32"/>
        </w:rPr>
        <w:t>万元，其中：基本支出</w:t>
      </w:r>
      <w:r>
        <w:rPr>
          <w:rFonts w:hint="eastAsia" w:ascii="仿宋" w:hAnsi="仿宋" w:eastAsia="仿宋" w:cs="仿宋"/>
          <w:sz w:val="32"/>
        </w:rPr>
        <w:t>1456.7</w:t>
      </w:r>
      <w:r>
        <w:rPr>
          <w:rFonts w:ascii="仿宋" w:hAnsi="仿宋" w:eastAsia="仿宋" w:cs="仿宋"/>
          <w:sz w:val="32"/>
        </w:rPr>
        <w:t xml:space="preserve">万元，占 </w:t>
      </w:r>
      <w:r>
        <w:rPr>
          <w:rFonts w:hint="eastAsia" w:ascii="仿宋" w:hAnsi="仿宋" w:eastAsia="仿宋" w:cs="仿宋"/>
          <w:sz w:val="32"/>
        </w:rPr>
        <w:t>76.56</w:t>
      </w:r>
      <w:r>
        <w:rPr>
          <w:rFonts w:ascii="仿宋" w:hAnsi="仿宋" w:eastAsia="仿宋" w:cs="仿宋"/>
          <w:sz w:val="32"/>
        </w:rPr>
        <w:t>%；项目支出</w:t>
      </w:r>
      <w:r>
        <w:rPr>
          <w:rFonts w:hint="eastAsia" w:ascii="仿宋" w:hAnsi="仿宋" w:eastAsia="仿宋" w:cs="仿宋"/>
          <w:sz w:val="32"/>
        </w:rPr>
        <w:t>445.87</w:t>
      </w:r>
      <w:r>
        <w:rPr>
          <w:rFonts w:ascii="仿宋" w:hAnsi="仿宋" w:eastAsia="仿宋" w:cs="仿宋"/>
          <w:sz w:val="32"/>
        </w:rPr>
        <w:t xml:space="preserve"> 万元，占</w:t>
      </w:r>
      <w:r>
        <w:rPr>
          <w:rFonts w:hint="eastAsia" w:ascii="仿宋" w:hAnsi="仿宋" w:eastAsia="仿宋" w:cs="仿宋"/>
          <w:sz w:val="32"/>
        </w:rPr>
        <w:t>23.44</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1646.06</w:t>
      </w:r>
      <w:r>
        <w:rPr>
          <w:rFonts w:ascii="仿宋" w:hAnsi="仿宋" w:eastAsia="仿宋" w:cs="仿宋"/>
          <w:sz w:val="32"/>
        </w:rPr>
        <w:t>万元，比上年同期增加</w:t>
      </w:r>
      <w:r>
        <w:rPr>
          <w:rFonts w:hint="eastAsia" w:ascii="仿宋" w:hAnsi="仿宋" w:eastAsia="仿宋" w:cs="仿宋"/>
          <w:sz w:val="32"/>
        </w:rPr>
        <w:t>53.13</w:t>
      </w:r>
      <w:r>
        <w:rPr>
          <w:rFonts w:ascii="仿宋" w:hAnsi="仿宋" w:eastAsia="仿宋" w:cs="仿宋"/>
          <w:sz w:val="32"/>
        </w:rPr>
        <w:t>万元，增长</w:t>
      </w:r>
      <w:r>
        <w:rPr>
          <w:rFonts w:hint="eastAsia" w:ascii="仿宋" w:hAnsi="仿宋" w:eastAsia="仿宋" w:cs="仿宋"/>
          <w:sz w:val="32"/>
        </w:rPr>
        <w:t>3.34</w:t>
      </w:r>
      <w:r>
        <w:rPr>
          <w:rFonts w:ascii="仿宋" w:hAnsi="仿宋" w:eastAsia="仿宋" w:cs="仿宋"/>
          <w:sz w:val="32"/>
        </w:rPr>
        <w:t>%；财政拨款支出总计</w:t>
      </w:r>
      <w:r>
        <w:rPr>
          <w:rFonts w:hint="eastAsia" w:ascii="仿宋" w:hAnsi="仿宋" w:eastAsia="仿宋" w:cs="仿宋"/>
          <w:sz w:val="32"/>
        </w:rPr>
        <w:t>1530.75</w:t>
      </w:r>
      <w:r>
        <w:rPr>
          <w:rFonts w:ascii="仿宋" w:hAnsi="仿宋" w:eastAsia="仿宋" w:cs="仿宋"/>
          <w:sz w:val="32"/>
        </w:rPr>
        <w:t>万元，比上年同期减少</w:t>
      </w:r>
      <w:r>
        <w:rPr>
          <w:rFonts w:hint="eastAsia" w:ascii="仿宋" w:hAnsi="仿宋" w:eastAsia="仿宋" w:cs="仿宋"/>
          <w:sz w:val="32"/>
        </w:rPr>
        <w:t>113.98</w:t>
      </w:r>
      <w:r>
        <w:rPr>
          <w:rFonts w:ascii="仿宋" w:hAnsi="仿宋" w:eastAsia="仿宋" w:cs="仿宋"/>
          <w:sz w:val="32"/>
        </w:rPr>
        <w:t>万元，下降</w:t>
      </w:r>
      <w:r>
        <w:rPr>
          <w:rFonts w:hint="eastAsia" w:ascii="仿宋" w:hAnsi="仿宋" w:eastAsia="仿宋" w:cs="仿宋"/>
          <w:sz w:val="32"/>
        </w:rPr>
        <w:t>6.93</w:t>
      </w:r>
      <w:r>
        <w:rPr>
          <w:rFonts w:ascii="仿宋" w:hAnsi="仿宋" w:eastAsia="仿宋" w:cs="仿宋"/>
          <w:sz w:val="32"/>
        </w:rPr>
        <w:t>%。主要原因：</w:t>
      </w:r>
      <w:r>
        <w:rPr>
          <w:rFonts w:hint="eastAsia" w:ascii="仿宋" w:hAnsi="仿宋" w:eastAsia="仿宋" w:cs="仿宋"/>
          <w:sz w:val="32"/>
        </w:rPr>
        <w:t>相比2018年财政应返还额度增加,导致当年支出减少。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1646.06</w:t>
      </w:r>
      <w:r>
        <w:rPr>
          <w:rFonts w:ascii="仿宋" w:hAnsi="仿宋" w:eastAsia="仿宋" w:cs="仿宋"/>
          <w:sz w:val="32"/>
        </w:rPr>
        <w:t>万元，比上年同期增加</w:t>
      </w:r>
      <w:r>
        <w:rPr>
          <w:rFonts w:hint="eastAsia" w:ascii="仿宋" w:hAnsi="仿宋" w:eastAsia="仿宋" w:cs="仿宋"/>
          <w:sz w:val="32"/>
        </w:rPr>
        <w:t>53.13</w:t>
      </w:r>
      <w:r>
        <w:rPr>
          <w:rFonts w:ascii="仿宋" w:hAnsi="仿宋" w:eastAsia="仿宋" w:cs="仿宋"/>
          <w:sz w:val="32"/>
        </w:rPr>
        <w:t>万元，增长</w:t>
      </w:r>
      <w:r>
        <w:rPr>
          <w:rFonts w:hint="eastAsia" w:ascii="仿宋" w:hAnsi="仿宋" w:eastAsia="仿宋" w:cs="仿宋"/>
          <w:sz w:val="32"/>
        </w:rPr>
        <w:t>3.34</w:t>
      </w:r>
      <w:r>
        <w:rPr>
          <w:rFonts w:ascii="仿宋" w:hAnsi="仿宋" w:eastAsia="仿宋" w:cs="仿宋"/>
          <w:sz w:val="32"/>
        </w:rPr>
        <w:t>%；一般公共预算财政拨款支出总计</w:t>
      </w:r>
      <w:r>
        <w:rPr>
          <w:rFonts w:hint="eastAsia" w:ascii="仿宋" w:hAnsi="仿宋" w:eastAsia="仿宋" w:cs="仿宋"/>
          <w:sz w:val="32"/>
        </w:rPr>
        <w:t>1530.75</w:t>
      </w:r>
      <w:r>
        <w:rPr>
          <w:rFonts w:ascii="仿宋" w:hAnsi="仿宋" w:eastAsia="仿宋" w:cs="仿宋"/>
          <w:sz w:val="32"/>
        </w:rPr>
        <w:t>万元，比上年同期减少</w:t>
      </w:r>
      <w:r>
        <w:rPr>
          <w:rFonts w:hint="eastAsia" w:ascii="仿宋" w:hAnsi="仿宋" w:eastAsia="仿宋" w:cs="仿宋"/>
          <w:sz w:val="32"/>
        </w:rPr>
        <w:t>113.98</w:t>
      </w:r>
      <w:r>
        <w:rPr>
          <w:rFonts w:ascii="仿宋" w:hAnsi="仿宋" w:eastAsia="仿宋" w:cs="仿宋"/>
          <w:sz w:val="32"/>
        </w:rPr>
        <w:t>万元，下降</w:t>
      </w:r>
      <w:r>
        <w:rPr>
          <w:rFonts w:hint="eastAsia" w:ascii="仿宋" w:hAnsi="仿宋" w:eastAsia="仿宋" w:cs="仿宋"/>
          <w:sz w:val="32"/>
        </w:rPr>
        <w:t>6.93</w:t>
      </w:r>
      <w:r>
        <w:rPr>
          <w:rFonts w:ascii="仿宋" w:hAnsi="仿宋" w:eastAsia="仿宋" w:cs="仿宋"/>
          <w:sz w:val="32"/>
        </w:rPr>
        <w:t>%。主要原因：</w:t>
      </w:r>
      <w:r>
        <w:rPr>
          <w:rFonts w:hint="eastAsia" w:ascii="仿宋" w:hAnsi="仿宋" w:eastAsia="仿宋" w:cs="仿宋"/>
          <w:sz w:val="32"/>
        </w:rPr>
        <w:t>相比2018年财政应返还额度增加,导致当年支出减少。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jc w:val="left"/>
        <w:rPr>
          <w:rFonts w:ascii="仿宋" w:hAnsi="仿宋" w:eastAsia="仿宋" w:cs="仿宋"/>
          <w:sz w:val="32"/>
        </w:rPr>
      </w:pPr>
      <w:r>
        <w:rPr>
          <w:rFonts w:hint="eastAsia" w:ascii="仿宋" w:hAnsi="仿宋" w:eastAsia="仿宋" w:cs="仿宋"/>
          <w:sz w:val="32"/>
        </w:rPr>
        <w:t>2019 年度一般公共预算财政拨款支出1530.75万元，主要用于以下方面： 一般公共服务支出32.27万元，占 2.11%；教育支出11.60万元，占 0.76%； 社会保障和就业支出13.82万元，占0.90%； 住房保障支出52.82万元，占 3.45%;卫生健康支出1420.25万元，占92.78%。</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rPr>
        <w:t>一般公共服务支出</w:t>
      </w:r>
      <w:r>
        <w:rPr>
          <w:rFonts w:ascii="仿宋" w:hAnsi="仿宋" w:eastAsia="仿宋" w:cs="仿宋"/>
          <w:sz w:val="32"/>
        </w:rPr>
        <w:t xml:space="preserve"> </w:t>
      </w:r>
      <w:r>
        <w:rPr>
          <w:rFonts w:hint="eastAsia" w:ascii="仿宋" w:hAnsi="仿宋" w:eastAsia="仿宋" w:cs="仿宋"/>
          <w:sz w:val="32"/>
        </w:rPr>
        <w:t>32.27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其它财政事务支出、其他组织事务支出、市场监督管理专项、其他市场监督管理事务。</w:t>
      </w:r>
    </w:p>
    <w:p>
      <w:pPr>
        <w:ind w:firstLine="640"/>
        <w:jc w:val="left"/>
        <w:rPr>
          <w:rFonts w:ascii="仿宋" w:hAnsi="仿宋" w:eastAsia="仿宋" w:cs="仿宋"/>
          <w:sz w:val="32"/>
        </w:rPr>
      </w:pPr>
      <w:r>
        <w:rPr>
          <w:rFonts w:hint="eastAsia" w:ascii="仿宋" w:hAnsi="仿宋" w:eastAsia="仿宋" w:cs="仿宋"/>
          <w:sz w:val="32"/>
        </w:rPr>
        <w:t>教育支出决算为</w:t>
      </w:r>
      <w:r>
        <w:rPr>
          <w:rFonts w:ascii="仿宋" w:hAnsi="仿宋" w:eastAsia="仿宋" w:cs="仿宋"/>
          <w:sz w:val="32"/>
        </w:rPr>
        <w:t xml:space="preserve"> </w:t>
      </w:r>
      <w:r>
        <w:rPr>
          <w:rFonts w:hint="eastAsia" w:ascii="仿宋" w:hAnsi="仿宋" w:eastAsia="仿宋" w:cs="仿宋"/>
          <w:sz w:val="32"/>
        </w:rPr>
        <w:t>11.60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其他教育支出。</w:t>
      </w:r>
    </w:p>
    <w:p>
      <w:pPr>
        <w:ind w:firstLine="640"/>
        <w:jc w:val="left"/>
        <w:rPr>
          <w:rFonts w:ascii="仿宋" w:hAnsi="仿宋" w:eastAsia="仿宋" w:cs="仿宋"/>
          <w:sz w:val="32"/>
        </w:rPr>
      </w:pPr>
      <w:r>
        <w:rPr>
          <w:rFonts w:hint="eastAsia" w:ascii="仿宋" w:hAnsi="仿宋" w:eastAsia="仿宋" w:cs="仿宋"/>
          <w:sz w:val="32"/>
        </w:rPr>
        <w:t>社会保障和就业支出13.82万元，主要用于离退休职工费用。</w:t>
      </w:r>
    </w:p>
    <w:p>
      <w:pPr>
        <w:ind w:firstLine="640"/>
        <w:jc w:val="left"/>
        <w:rPr>
          <w:rFonts w:ascii="仿宋" w:hAnsi="仿宋" w:eastAsia="仿宋" w:cs="仿宋"/>
          <w:sz w:val="32"/>
        </w:rPr>
      </w:pPr>
      <w:r>
        <w:rPr>
          <w:rFonts w:hint="eastAsia" w:ascii="仿宋" w:hAnsi="仿宋" w:eastAsia="仿宋" w:cs="仿宋"/>
          <w:sz w:val="32"/>
        </w:rPr>
        <w:t>住房保障支出52.82万元，主要用于职工公积金缴纳。</w:t>
      </w:r>
    </w:p>
    <w:p>
      <w:pPr>
        <w:ind w:firstLine="640"/>
        <w:jc w:val="left"/>
        <w:rPr>
          <w:rFonts w:ascii="仿宋" w:hAnsi="仿宋" w:eastAsia="仿宋" w:cs="仿宋"/>
          <w:sz w:val="32"/>
        </w:rPr>
      </w:pPr>
      <w:r>
        <w:rPr>
          <w:rFonts w:hint="eastAsia" w:ascii="仿宋" w:hAnsi="仿宋" w:eastAsia="仿宋" w:cs="仿宋"/>
          <w:sz w:val="32"/>
        </w:rPr>
        <w:t>卫生健康支出1420.25万元，主要用于疾病预防控制机构、基本公共卫生服务、重大公共卫生专项、其他公共卫生支出。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1084.88</w:t>
      </w:r>
      <w:r>
        <w:rPr>
          <w:rFonts w:ascii="仿宋" w:hAnsi="仿宋" w:eastAsia="仿宋" w:cs="仿宋"/>
          <w:sz w:val="32"/>
        </w:rPr>
        <w:t xml:space="preserve">万元，其中人员经费支出 </w:t>
      </w:r>
      <w:r>
        <w:rPr>
          <w:rFonts w:hint="eastAsia" w:ascii="仿宋" w:hAnsi="仿宋" w:eastAsia="仿宋" w:cs="仿宋"/>
          <w:sz w:val="32"/>
        </w:rPr>
        <w:t>888.30</w:t>
      </w:r>
      <w:r>
        <w:rPr>
          <w:rFonts w:ascii="仿宋" w:hAnsi="仿宋" w:eastAsia="仿宋" w:cs="仿宋"/>
          <w:sz w:val="32"/>
        </w:rPr>
        <w:t>万元，主要包括：基本工资、</w:t>
      </w:r>
      <w:r>
        <w:rPr>
          <w:rFonts w:hint="eastAsia" w:ascii="仿宋" w:hAnsi="仿宋" w:eastAsia="仿宋" w:cs="宋体"/>
          <w:color w:val="333333"/>
          <w:kern w:val="0"/>
          <w:sz w:val="32"/>
          <w:szCs w:val="32"/>
        </w:rPr>
        <w:t>津贴补贴、绩效工资、社会保障缴费、对个人和家庭的补助支出等</w:t>
      </w:r>
      <w:r>
        <w:rPr>
          <w:rFonts w:ascii="仿宋" w:hAnsi="仿宋" w:eastAsia="仿宋" w:cs="仿宋"/>
          <w:sz w:val="32"/>
        </w:rPr>
        <w:t xml:space="preserve">；公用经费支出 </w:t>
      </w:r>
      <w:r>
        <w:rPr>
          <w:rFonts w:hint="eastAsia" w:ascii="仿宋" w:hAnsi="仿宋" w:eastAsia="仿宋" w:cs="仿宋"/>
          <w:sz w:val="32"/>
        </w:rPr>
        <w:t>196.58</w:t>
      </w:r>
      <w:r>
        <w:rPr>
          <w:rFonts w:ascii="仿宋" w:hAnsi="仿宋" w:eastAsia="仿宋" w:cs="仿宋"/>
          <w:sz w:val="32"/>
        </w:rPr>
        <w:t>万元。主要包括：</w:t>
      </w:r>
      <w:r>
        <w:rPr>
          <w:rFonts w:hint="eastAsia" w:ascii="仿宋" w:hAnsi="仿宋" w:eastAsia="仿宋" w:cs="仿宋"/>
          <w:sz w:val="32"/>
        </w:rPr>
        <w:t>维修（护）费</w:t>
      </w:r>
      <w:r>
        <w:rPr>
          <w:rFonts w:ascii="仿宋" w:hAnsi="仿宋" w:eastAsia="仿宋" w:cs="仿宋"/>
          <w:sz w:val="32"/>
        </w:rPr>
        <w:t>、印刷费</w:t>
      </w:r>
      <w:r>
        <w:rPr>
          <w:rFonts w:hint="eastAsia" w:ascii="仿宋" w:hAnsi="仿宋" w:eastAsia="仿宋" w:cs="仿宋"/>
          <w:sz w:val="32"/>
        </w:rPr>
        <w:t>、</w:t>
      </w:r>
      <w:r>
        <w:rPr>
          <w:rFonts w:hint="eastAsia" w:ascii="仿宋" w:hAnsi="仿宋" w:eastAsia="仿宋" w:cs="宋体"/>
          <w:color w:val="333333"/>
          <w:kern w:val="0"/>
          <w:sz w:val="32"/>
          <w:szCs w:val="32"/>
        </w:rPr>
        <w:t>水电费等。</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益阳市疾病预防控制中心无政府性基金收入，无政府性基金安排的支出。</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仿宋" w:hAnsi="仿宋" w:eastAsia="仿宋" w:cs="仿宋"/>
          <w:sz w:val="32"/>
        </w:rPr>
      </w:pPr>
      <w:r>
        <w:rPr>
          <w:rFonts w:hint="eastAsia" w:ascii="仿宋" w:hAnsi="仿宋" w:eastAsia="仿宋" w:cs="宋体"/>
          <w:color w:val="333333"/>
          <w:kern w:val="0"/>
          <w:sz w:val="32"/>
          <w:szCs w:val="32"/>
        </w:rPr>
        <w:t>益阳市疾病预防控制中心一般公共预算财政拨款“三公”经费0元。</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widowControl/>
        <w:shd w:val="clear" w:color="auto" w:fill="FFFFFF"/>
        <w:spacing w:before="120"/>
        <w:ind w:firstLine="640"/>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2019年，本单位按照有关政策文件和市财政局要求开展预算绩效管理工作，一是加强绩效目标管理。在编制2019年部门预算时，本部门将所有预算资金纳入绩效目标管理，实现了绩效目标与部门预算同步编制、同步申报。二是做好绩效自评。根据市财政局文件要求，本单位对2019年部门整体支出开展了绩效自评。</w:t>
      </w:r>
    </w:p>
    <w:p>
      <w:pPr>
        <w:ind w:firstLine="640"/>
        <w:jc w:val="left"/>
        <w:rPr>
          <w:rFonts w:ascii="黑体" w:hAnsi="黑体" w:eastAsia="黑体" w:cs="黑体"/>
          <w:color w:val="000000" w:themeColor="text1"/>
          <w:sz w:val="32"/>
        </w:rPr>
      </w:pPr>
      <w:r>
        <w:rPr>
          <w:rFonts w:hint="eastAsia" w:ascii="黑体" w:hAnsi="黑体" w:eastAsia="黑体" w:cs="黑体"/>
          <w:color w:val="000000" w:themeColor="text1"/>
          <w:sz w:val="32"/>
        </w:rPr>
        <w:t>十</w:t>
      </w:r>
      <w:r>
        <w:rPr>
          <w:rFonts w:ascii="黑体" w:hAnsi="黑体" w:eastAsia="黑体" w:cs="黑体"/>
          <w:color w:val="000000" w:themeColor="text1"/>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widowControl/>
        <w:shd w:val="clear" w:color="auto" w:fill="FFFFFF"/>
        <w:spacing w:before="120"/>
        <w:ind w:firstLine="560"/>
        <w:jc w:val="left"/>
        <w:rPr>
          <w:rFonts w:ascii="仿宋" w:hAnsi="仿宋" w:eastAsia="仿宋" w:cs="宋体"/>
          <w:color w:val="333333"/>
          <w:kern w:val="0"/>
          <w:sz w:val="32"/>
          <w:szCs w:val="32"/>
        </w:rPr>
      </w:pPr>
      <w:r>
        <w:rPr>
          <w:rFonts w:hint="eastAsia" w:ascii="仿宋" w:hAnsi="仿宋" w:eastAsia="仿宋" w:cs="宋体"/>
          <w:kern w:val="0"/>
          <w:sz w:val="32"/>
          <w:szCs w:val="32"/>
        </w:rPr>
        <w:t>2019年年初预算收入1215.02万元</w:t>
      </w:r>
      <w:r>
        <w:rPr>
          <w:rFonts w:hint="eastAsia" w:ascii="仿宋" w:hAnsi="仿宋" w:eastAsia="仿宋" w:cs="宋体"/>
          <w:color w:val="333333"/>
          <w:kern w:val="0"/>
          <w:sz w:val="32"/>
          <w:szCs w:val="32"/>
        </w:rPr>
        <w:t>,决算收入</w:t>
      </w:r>
      <w:r>
        <w:rPr>
          <w:rFonts w:hint="eastAsia" w:ascii="仿宋" w:hAnsi="仿宋" w:eastAsia="仿宋" w:cs="仿宋"/>
          <w:sz w:val="32"/>
        </w:rPr>
        <w:t>1794.21</w:t>
      </w:r>
      <w:r>
        <w:rPr>
          <w:rFonts w:hint="eastAsia" w:ascii="仿宋" w:hAnsi="仿宋" w:eastAsia="仿宋" w:cs="宋体"/>
          <w:color w:val="333333"/>
          <w:kern w:val="0"/>
          <w:sz w:val="32"/>
          <w:szCs w:val="32"/>
        </w:rPr>
        <w:t>万元；部门决算支出</w:t>
      </w:r>
      <w:r>
        <w:rPr>
          <w:rFonts w:hint="eastAsia" w:ascii="仿宋" w:hAnsi="仿宋" w:eastAsia="仿宋" w:cs="仿宋"/>
          <w:sz w:val="32"/>
        </w:rPr>
        <w:t>1902.57</w:t>
      </w:r>
      <w:r>
        <w:rPr>
          <w:rFonts w:hint="eastAsia" w:ascii="仿宋" w:hAnsi="仿宋" w:eastAsia="仿宋" w:cs="宋体"/>
          <w:color w:val="333333"/>
          <w:kern w:val="0"/>
          <w:sz w:val="32"/>
          <w:szCs w:val="32"/>
        </w:rPr>
        <w:t>万元,主要原因一是中央、省拨入资金未在年初预算内，二是上年结转资金在本年支出。</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jc w:val="left"/>
        <w:rPr>
          <w:rFonts w:ascii="仿宋" w:hAnsi="仿宋" w:eastAsia="仿宋" w:cs="仿宋"/>
          <w:sz w:val="32"/>
        </w:rPr>
      </w:pPr>
      <w:r>
        <w:rPr>
          <w:rFonts w:hint="eastAsia" w:ascii="仿宋" w:hAnsi="仿宋" w:eastAsia="仿宋" w:cs="宋体"/>
          <w:color w:val="333333"/>
          <w:kern w:val="0"/>
          <w:sz w:val="32"/>
          <w:szCs w:val="32"/>
        </w:rPr>
        <w:t>益阳市疾病预防控制中心为全额拨款事业单位，无机关运行经费开支。</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 w:hAnsi="仿宋" w:eastAsia="仿宋" w:cs="宋体"/>
          <w:color w:val="333333"/>
          <w:kern w:val="0"/>
          <w:sz w:val="32"/>
          <w:szCs w:val="32"/>
        </w:rPr>
        <w:t>政府采购支出</w:t>
      </w:r>
      <w:r>
        <w:rPr>
          <w:rFonts w:hint="eastAsia" w:ascii="仿宋" w:hAnsi="仿宋" w:eastAsia="仿宋" w:cs="宋体"/>
          <w:color w:val="333333"/>
          <w:kern w:val="0"/>
          <w:sz w:val="32"/>
          <w:szCs w:val="32"/>
          <w:lang w:val="en-US" w:eastAsia="zh-CN"/>
        </w:rPr>
        <w:t>167.81</w:t>
      </w:r>
      <w:r>
        <w:rPr>
          <w:rFonts w:hint="eastAsia" w:ascii="仿宋" w:hAnsi="仿宋" w:eastAsia="仿宋" w:cs="宋体"/>
          <w:color w:val="333333"/>
          <w:kern w:val="0"/>
          <w:sz w:val="32"/>
          <w:szCs w:val="32"/>
        </w:rPr>
        <w:t>万元，</w:t>
      </w:r>
      <w:r>
        <w:rPr>
          <w:rFonts w:ascii="仿宋" w:hAnsi="仿宋" w:eastAsia="仿宋" w:cs="仿宋"/>
          <w:sz w:val="32"/>
        </w:rPr>
        <w:t>其中，政府采购货物支出</w:t>
      </w:r>
      <w:r>
        <w:rPr>
          <w:rFonts w:hint="eastAsia" w:ascii="仿宋" w:hAnsi="仿宋" w:eastAsia="仿宋" w:cs="仿宋"/>
          <w:sz w:val="32"/>
        </w:rPr>
        <w:t>78.40</w:t>
      </w:r>
      <w:r>
        <w:rPr>
          <w:rFonts w:ascii="仿宋" w:hAnsi="仿宋" w:eastAsia="仿宋" w:cs="仿宋"/>
          <w:sz w:val="32"/>
        </w:rPr>
        <w:t>万元，</w:t>
      </w:r>
      <w:r>
        <w:rPr>
          <w:rFonts w:hint="eastAsia" w:ascii="仿宋" w:hAnsi="仿宋" w:eastAsia="仿宋" w:cs="仿宋"/>
          <w:sz w:val="32"/>
          <w:lang w:eastAsia="zh-CN"/>
        </w:rPr>
        <w:t>工程类采购支出</w:t>
      </w:r>
      <w:r>
        <w:rPr>
          <w:rFonts w:hint="eastAsia" w:ascii="仿宋" w:hAnsi="仿宋" w:eastAsia="仿宋" w:cs="仿宋"/>
          <w:sz w:val="32"/>
          <w:lang w:val="en-US" w:eastAsia="zh-CN"/>
        </w:rPr>
        <w:t>89.41万元,政府采购货物与工程类采购支出均为中小企业，</w:t>
      </w:r>
      <w:bookmarkStart w:id="0" w:name="_GoBack"/>
      <w:bookmarkEnd w:id="0"/>
      <w:r>
        <w:rPr>
          <w:rFonts w:hint="eastAsia" w:ascii="仿宋" w:hAnsi="仿宋" w:eastAsia="仿宋" w:cs="仿宋"/>
          <w:sz w:val="32"/>
        </w:rPr>
        <w:t>占政府采购支出总额的100%。</w:t>
      </w:r>
    </w:p>
    <w:p>
      <w:pPr>
        <w:ind w:firstLine="640"/>
        <w:jc w:val="left"/>
        <w:rPr>
          <w:rFonts w:ascii="楷体" w:hAnsi="楷体" w:eastAsia="楷体" w:cs="楷体"/>
          <w:sz w:val="32"/>
        </w:rPr>
      </w:pPr>
      <w:r>
        <w:rPr>
          <w:rFonts w:ascii="楷体" w:hAnsi="楷体" w:eastAsia="楷体" w:cs="楷体"/>
          <w:sz w:val="32"/>
        </w:rPr>
        <w:t>（四）国有资产占用情况。</w:t>
      </w:r>
    </w:p>
    <w:p>
      <w:pPr>
        <w:widowControl/>
        <w:shd w:val="clear" w:color="auto" w:fill="FFFFFF"/>
        <w:spacing w:before="120"/>
        <w:ind w:firstLine="56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截至2019年12月31日，本单位共有车辆4辆，其中，一般公务用车3辆，主要用于业务督导；其他用车1辆，其他用车主要用于疫苗冷链配送；单位价值50万元以上通用设备0台(套)，单价100万元以上专用设备2台(套）。</w:t>
      </w:r>
    </w:p>
    <w:p>
      <w:pPr>
        <w:ind w:firstLine="480" w:firstLineChars="150"/>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53565"/>
    <w:rsid w:val="00097706"/>
    <w:rsid w:val="000B56F7"/>
    <w:rsid w:val="000E1DA1"/>
    <w:rsid w:val="000F62A1"/>
    <w:rsid w:val="0011267F"/>
    <w:rsid w:val="001352FB"/>
    <w:rsid w:val="00144D50"/>
    <w:rsid w:val="001542C2"/>
    <w:rsid w:val="001B6DDF"/>
    <w:rsid w:val="00202C62"/>
    <w:rsid w:val="0025703E"/>
    <w:rsid w:val="002D5DD0"/>
    <w:rsid w:val="00361F25"/>
    <w:rsid w:val="003638A2"/>
    <w:rsid w:val="00385DA9"/>
    <w:rsid w:val="003B30A7"/>
    <w:rsid w:val="00404E1A"/>
    <w:rsid w:val="00422297"/>
    <w:rsid w:val="004606BE"/>
    <w:rsid w:val="004648FC"/>
    <w:rsid w:val="004C174B"/>
    <w:rsid w:val="004E2F24"/>
    <w:rsid w:val="004F4950"/>
    <w:rsid w:val="004F7EA6"/>
    <w:rsid w:val="00582244"/>
    <w:rsid w:val="005B447C"/>
    <w:rsid w:val="005E2E58"/>
    <w:rsid w:val="006123DC"/>
    <w:rsid w:val="0065030C"/>
    <w:rsid w:val="006578AE"/>
    <w:rsid w:val="006A47EE"/>
    <w:rsid w:val="006A74DF"/>
    <w:rsid w:val="006F6EEE"/>
    <w:rsid w:val="006F7C10"/>
    <w:rsid w:val="0070163B"/>
    <w:rsid w:val="00732CB0"/>
    <w:rsid w:val="0073457E"/>
    <w:rsid w:val="007575C0"/>
    <w:rsid w:val="007C4972"/>
    <w:rsid w:val="007F5681"/>
    <w:rsid w:val="008A5016"/>
    <w:rsid w:val="008C6C28"/>
    <w:rsid w:val="008F546E"/>
    <w:rsid w:val="00946F32"/>
    <w:rsid w:val="0096182A"/>
    <w:rsid w:val="00992B0A"/>
    <w:rsid w:val="009B4C5A"/>
    <w:rsid w:val="009F795E"/>
    <w:rsid w:val="00A806B4"/>
    <w:rsid w:val="00AB25EE"/>
    <w:rsid w:val="00AD69EE"/>
    <w:rsid w:val="00AF64D3"/>
    <w:rsid w:val="00B2447F"/>
    <w:rsid w:val="00B27C51"/>
    <w:rsid w:val="00B44575"/>
    <w:rsid w:val="00B80F7D"/>
    <w:rsid w:val="00BA2DCF"/>
    <w:rsid w:val="00BC6D21"/>
    <w:rsid w:val="00BD0975"/>
    <w:rsid w:val="00BD4CF5"/>
    <w:rsid w:val="00C16336"/>
    <w:rsid w:val="00C44F18"/>
    <w:rsid w:val="00C457D0"/>
    <w:rsid w:val="00C70BD2"/>
    <w:rsid w:val="00D212B4"/>
    <w:rsid w:val="00D21CDF"/>
    <w:rsid w:val="00D23A76"/>
    <w:rsid w:val="00D36804"/>
    <w:rsid w:val="00D517A0"/>
    <w:rsid w:val="00D80500"/>
    <w:rsid w:val="00D83956"/>
    <w:rsid w:val="00D87694"/>
    <w:rsid w:val="00DF6FA5"/>
    <w:rsid w:val="00E44E32"/>
    <w:rsid w:val="00E517E0"/>
    <w:rsid w:val="00EB6020"/>
    <w:rsid w:val="00EC2412"/>
    <w:rsid w:val="00EC2A23"/>
    <w:rsid w:val="00EC2AAC"/>
    <w:rsid w:val="00F322AD"/>
    <w:rsid w:val="00F35C36"/>
    <w:rsid w:val="00F44513"/>
    <w:rsid w:val="00F90EA9"/>
    <w:rsid w:val="00F94200"/>
    <w:rsid w:val="00FC40BD"/>
    <w:rsid w:val="00FE3F03"/>
    <w:rsid w:val="604506FE"/>
    <w:rsid w:val="74EB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636</Words>
  <Characters>3626</Characters>
  <Lines>30</Lines>
  <Paragraphs>8</Paragraphs>
  <TotalTime>574</TotalTime>
  <ScaleCrop>false</ScaleCrop>
  <LinksUpToDate>false</LinksUpToDate>
  <CharactersWithSpaces>4254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xlc</dc:creator>
  <cp:lastModifiedBy>xlc</cp:lastModifiedBy>
  <dcterms:modified xsi:type="dcterms:W3CDTF">2021-06-02T02:45:12Z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