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目 录</w:t>
      </w:r>
    </w:p>
    <w:p>
      <w:pPr>
        <w:ind w:firstLine="3200"/>
        <w:rPr>
          <w:rFonts w:hint="eastAsia" w:ascii="仿宋" w:hAnsi="仿宋" w:eastAsia="仿宋" w:cs="仿宋"/>
          <w:b w:val="0"/>
          <w:bCs w:val="0"/>
          <w:sz w:val="32"/>
          <w:szCs w:val="32"/>
          <w:highlight w:val="none"/>
        </w:rPr>
      </w:pP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第一部分 益阳市地质环境监测站概况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一、部门职责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二、机构设置</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三、部门决算单位构成</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第二部分益阳市地质环境监测站2019年度部门决算表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一、收入支出决算总表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二、收入决算表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三、支出决算表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四、财政拨款收入支出决算总表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五、一般公共预算财政拨款支出决算表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六、一般公共预算财政拨款基本支出决算表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七、一般公共预算财政拨款“三公”经费支出决算表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八、政府性基金预算财政拨款收入支出决算表 </w:t>
      </w:r>
    </w:p>
    <w:p>
      <w:p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第三部分 益阳市地质环境监测站2019年度部门决算情况说明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一、收入支出决算总体情况说明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二、收入决算情况说明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四、财政拨款收入支出决算总体情况说明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五、一般公共预算财政拨款支出决算情况说明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六、一般公共预算财政拨款基本支出决算情况说明 </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七、政府性基金预算财政拨款支出决算情况说明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八、一般公共预算财政拨款“三公”经费支出决算情况说明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九、预算绩效情况说明</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十、其他重要事项情况说明 </w:t>
      </w:r>
    </w:p>
    <w:p>
      <w:pPr>
        <w:numPr>
          <w:ilvl w:val="0"/>
          <w:numId w:val="1"/>
        </w:num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名词解释</w:t>
      </w:r>
    </w:p>
    <w:p>
      <w:pPr>
        <w:numPr>
          <w:ilvl w:val="0"/>
          <w:numId w:val="1"/>
        </w:numP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附件</w:t>
      </w:r>
    </w:p>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第一部分 益阳市地质环境监测站概况</w:t>
      </w:r>
    </w:p>
    <w:p>
      <w:pPr>
        <w:jc w:val="left"/>
        <w:rPr>
          <w:rFonts w:hint="eastAsia" w:ascii="仿宋" w:hAnsi="仿宋" w:eastAsia="仿宋" w:cs="仿宋"/>
          <w:b w:val="0"/>
          <w:bCs w:val="0"/>
          <w:color w:val="575555"/>
          <w:sz w:val="32"/>
          <w:szCs w:val="32"/>
          <w:highlight w:val="none"/>
        </w:rPr>
      </w:pPr>
      <w:r>
        <w:rPr>
          <w:rFonts w:hint="eastAsia" w:ascii="仿宋" w:hAnsi="仿宋" w:eastAsia="仿宋" w:cs="仿宋"/>
          <w:b w:val="0"/>
          <w:bCs w:val="0"/>
          <w:sz w:val="32"/>
          <w:szCs w:val="32"/>
          <w:highlight w:val="none"/>
        </w:rPr>
        <w:t>一、部门职责</w:t>
      </w:r>
    </w:p>
    <w:p>
      <w:pPr>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本单位负责</w:t>
      </w:r>
      <w:r>
        <w:rPr>
          <w:rFonts w:hint="eastAsia" w:ascii="仿宋" w:hAnsi="仿宋" w:eastAsia="仿宋" w:cs="仿宋"/>
          <w:b w:val="0"/>
          <w:bCs w:val="0"/>
          <w:sz w:val="32"/>
          <w:szCs w:val="32"/>
          <w:highlight w:val="none"/>
        </w:rPr>
        <w:t>监测矿山地质环境、市城区地质环境以及市城市矿泉水；负责对全市新征建设用地、新建矿山进行地质环境影响评估；对全市地质环境状况实施调查、动态监测和评价。</w:t>
      </w:r>
    </w:p>
    <w:p>
      <w:pPr>
        <w:ind w:left="795" w:hanging="795"/>
        <w:rPr>
          <w:rFonts w:hint="eastAsia" w:ascii="仿宋" w:hAnsi="仿宋" w:eastAsia="仿宋" w:cs="仿宋"/>
          <w:b w:val="0"/>
          <w:bCs w:val="0"/>
          <w:color w:val="575555"/>
          <w:sz w:val="32"/>
          <w:szCs w:val="32"/>
          <w:highlight w:val="none"/>
        </w:rPr>
      </w:pPr>
      <w:r>
        <w:rPr>
          <w:rFonts w:hint="eastAsia" w:ascii="仿宋" w:hAnsi="仿宋" w:eastAsia="仿宋" w:cs="仿宋"/>
          <w:b w:val="0"/>
          <w:bCs w:val="0"/>
          <w:sz w:val="32"/>
          <w:szCs w:val="32"/>
          <w:highlight w:val="none"/>
        </w:rPr>
        <w:t>二、机构设置</w:t>
      </w:r>
    </w:p>
    <w:p>
      <w:pPr>
        <w:ind w:firstLine="64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eastAsia="zh-CN"/>
        </w:rPr>
        <w:t>益阳市地质环境监测站为全额拨款事业单位，事业编制5名。核定正科级领导职数1名，副科级领导职数1名，实有人员</w:t>
      </w:r>
      <w:r>
        <w:rPr>
          <w:rFonts w:hint="eastAsia" w:ascii="仿宋" w:hAnsi="仿宋" w:eastAsia="仿宋" w:cs="仿宋"/>
          <w:b w:val="0"/>
          <w:bCs w:val="0"/>
          <w:sz w:val="32"/>
          <w:szCs w:val="32"/>
          <w:highlight w:val="none"/>
          <w:lang w:val="en-US" w:eastAsia="zh-CN"/>
        </w:rPr>
        <w:t>8名。</w:t>
      </w:r>
    </w:p>
    <w:p>
      <w:pPr>
        <w:ind w:firstLine="640"/>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内设机构2个，分别为办公室，综合科。</w:t>
      </w:r>
    </w:p>
    <w:p>
      <w:pPr>
        <w:ind w:left="795" w:hanging="795"/>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三、部门决算单位构成</w:t>
      </w:r>
    </w:p>
    <w:p>
      <w:pPr>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从决算单位构成看，益阳市地质环境监测站部门决算包括：益阳市地质环境监测站部门决算本级决算。</w:t>
      </w:r>
    </w:p>
    <w:tbl>
      <w:tblPr>
        <w:tblStyle w:val="5"/>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益阳市地质环境监测站</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4</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val="0"/>
                <w:bCs w:val="0"/>
                <w:sz w:val="32"/>
                <w:szCs w:val="32"/>
                <w:highlight w:val="none"/>
              </w:rPr>
            </w:pPr>
          </w:p>
        </w:tc>
      </w:tr>
    </w:tbl>
    <w:p>
      <w:pPr>
        <w:numPr>
          <w:ilvl w:val="0"/>
          <w:numId w:val="2"/>
        </w:num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益阳市地质环境监测站</w:t>
      </w:r>
    </w:p>
    <w:p>
      <w:pPr>
        <w:numPr>
          <w:ilvl w:val="0"/>
          <w:numId w:val="0"/>
        </w:num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 年度部门决算表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表1：收入支出决算总表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表2：收入决算表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表3：支出决算表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表4：财政拨款收入支出决算总表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表5：一般公共预算财政拨款支出决算表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表6：一般公共预算财政拨款基本支出决算表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表7：一般公共预算财政拨款“三公”经费支出决算表</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表8：政府性基金预算财政拨款收入支出决算表</w:t>
      </w:r>
    </w:p>
    <w:p>
      <w:pPr>
        <w:numPr>
          <w:ilvl w:val="0"/>
          <w:numId w:val="2"/>
        </w:numPr>
        <w:ind w:left="0" w:leftChars="0" w:firstLine="0" w:firstLineChars="0"/>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益阳市地质环境监测站</w:t>
      </w:r>
    </w:p>
    <w:p>
      <w:pPr>
        <w:numPr>
          <w:ilvl w:val="0"/>
          <w:numId w:val="0"/>
        </w:numPr>
        <w:ind w:leftChars="0"/>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 年度部门决算情况说明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一、关于益阳市地质环境监测站2019年度收入支出决算总体情况说明</w:t>
      </w:r>
    </w:p>
    <w:p>
      <w:pPr>
        <w:keepNext w:val="0"/>
        <w:keepLines w:val="0"/>
        <w:pageBreakBefore w:val="0"/>
        <w:widowControl w:val="0"/>
        <w:kinsoku/>
        <w:wordWrap/>
        <w:overflowPunct/>
        <w:topLinePunct w:val="0"/>
        <w:autoSpaceDE/>
        <w:autoSpaceDN/>
        <w:bidi w:val="0"/>
        <w:adjustRightInd/>
        <w:snapToGrid/>
        <w:spacing w:line="660" w:lineRule="exact"/>
        <w:ind w:firstLine="640"/>
        <w:jc w:val="left"/>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益阳市地质环境监测站2019年度收入总计</w:t>
      </w:r>
      <w:r>
        <w:rPr>
          <w:rFonts w:hint="eastAsia" w:ascii="仿宋" w:hAnsi="仿宋" w:eastAsia="仿宋" w:cs="仿宋"/>
          <w:b w:val="0"/>
          <w:bCs w:val="0"/>
          <w:sz w:val="32"/>
          <w:szCs w:val="32"/>
          <w:highlight w:val="none"/>
          <w:lang w:val="en-US" w:eastAsia="zh-CN"/>
        </w:rPr>
        <w:t>204.12</w:t>
      </w:r>
      <w:r>
        <w:rPr>
          <w:rFonts w:hint="eastAsia" w:ascii="仿宋" w:hAnsi="仿宋" w:eastAsia="仿宋" w:cs="仿宋"/>
          <w:b w:val="0"/>
          <w:bCs w:val="0"/>
          <w:sz w:val="32"/>
          <w:szCs w:val="32"/>
          <w:highlight w:val="none"/>
        </w:rPr>
        <w:t>万元，比上年同期减少</w:t>
      </w:r>
      <w:r>
        <w:rPr>
          <w:rFonts w:hint="eastAsia" w:ascii="仿宋" w:hAnsi="仿宋" w:eastAsia="仿宋" w:cs="仿宋"/>
          <w:b w:val="0"/>
          <w:bCs w:val="0"/>
          <w:sz w:val="32"/>
          <w:szCs w:val="32"/>
          <w:highlight w:val="none"/>
          <w:lang w:val="en-US" w:eastAsia="zh-CN"/>
        </w:rPr>
        <w:t>29.38</w:t>
      </w:r>
      <w:r>
        <w:rPr>
          <w:rFonts w:hint="eastAsia" w:ascii="仿宋" w:hAnsi="仿宋" w:eastAsia="仿宋" w:cs="仿宋"/>
          <w:b w:val="0"/>
          <w:bCs w:val="0"/>
          <w:sz w:val="32"/>
          <w:szCs w:val="32"/>
          <w:highlight w:val="none"/>
        </w:rPr>
        <w:t>万元，下降</w:t>
      </w:r>
      <w:r>
        <w:rPr>
          <w:rFonts w:hint="eastAsia" w:ascii="仿宋" w:hAnsi="仿宋" w:eastAsia="仿宋" w:cs="仿宋"/>
          <w:b w:val="0"/>
          <w:bCs w:val="0"/>
          <w:sz w:val="32"/>
          <w:szCs w:val="32"/>
          <w:highlight w:val="none"/>
          <w:lang w:val="en-US" w:eastAsia="zh-CN"/>
        </w:rPr>
        <w:t>12.58</w:t>
      </w:r>
      <w:r>
        <w:rPr>
          <w:rFonts w:hint="eastAsia" w:ascii="仿宋" w:hAnsi="仿宋" w:eastAsia="仿宋" w:cs="仿宋"/>
          <w:b w:val="0"/>
          <w:bCs w:val="0"/>
          <w:sz w:val="32"/>
          <w:szCs w:val="32"/>
          <w:highlight w:val="none"/>
        </w:rPr>
        <w:t>%；支出总计</w:t>
      </w:r>
      <w:r>
        <w:rPr>
          <w:rFonts w:hint="eastAsia" w:ascii="仿宋" w:hAnsi="仿宋" w:eastAsia="仿宋" w:cs="仿宋"/>
          <w:b w:val="0"/>
          <w:bCs w:val="0"/>
          <w:sz w:val="32"/>
          <w:szCs w:val="32"/>
          <w:highlight w:val="none"/>
          <w:lang w:val="en-US" w:eastAsia="zh-CN"/>
        </w:rPr>
        <w:t>195.17</w:t>
      </w:r>
      <w:r>
        <w:rPr>
          <w:rFonts w:hint="eastAsia" w:ascii="仿宋" w:hAnsi="仿宋" w:eastAsia="仿宋" w:cs="仿宋"/>
          <w:b w:val="0"/>
          <w:bCs w:val="0"/>
          <w:sz w:val="32"/>
          <w:szCs w:val="32"/>
          <w:highlight w:val="none"/>
        </w:rPr>
        <w:t>万元，比上年同期增加</w:t>
      </w:r>
      <w:r>
        <w:rPr>
          <w:rFonts w:hint="eastAsia" w:ascii="仿宋" w:hAnsi="仿宋" w:eastAsia="仿宋" w:cs="仿宋"/>
          <w:b w:val="0"/>
          <w:bCs w:val="0"/>
          <w:sz w:val="32"/>
          <w:szCs w:val="32"/>
          <w:highlight w:val="none"/>
          <w:lang w:val="en-US" w:eastAsia="zh-CN"/>
        </w:rPr>
        <w:t>22.97</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lang w:eastAsia="zh-CN"/>
        </w:rPr>
        <w:t>上升</w:t>
      </w:r>
      <w:r>
        <w:rPr>
          <w:rFonts w:hint="eastAsia" w:ascii="仿宋" w:hAnsi="仿宋" w:eastAsia="仿宋" w:cs="仿宋"/>
          <w:b w:val="0"/>
          <w:bCs w:val="0"/>
          <w:sz w:val="32"/>
          <w:szCs w:val="32"/>
          <w:highlight w:val="none"/>
          <w:lang w:val="en-US" w:eastAsia="zh-CN"/>
        </w:rPr>
        <w:t>13.34</w:t>
      </w:r>
      <w:r>
        <w:rPr>
          <w:rFonts w:hint="eastAsia" w:ascii="仿宋" w:hAnsi="仿宋" w:eastAsia="仿宋" w:cs="仿宋"/>
          <w:b w:val="0"/>
          <w:bCs w:val="0"/>
          <w:sz w:val="32"/>
          <w:szCs w:val="32"/>
          <w:highlight w:val="none"/>
        </w:rPr>
        <w:t>%；。主要原因：人员增资调资。</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　　</w:t>
      </w:r>
      <w:r>
        <w:rPr>
          <w:rFonts w:hint="eastAsia" w:ascii="仿宋" w:hAnsi="仿宋" w:eastAsia="仿宋" w:cs="仿宋"/>
          <w:b w:val="0"/>
          <w:bCs w:val="0"/>
          <w:sz w:val="32"/>
          <w:szCs w:val="32"/>
          <w:highlight w:val="none"/>
        </w:rPr>
        <w:t>二、关于益阳市地质环境监测站2019年度收入决算情况说明</w:t>
      </w:r>
    </w:p>
    <w:p>
      <w:pPr>
        <w:keepNext w:val="0"/>
        <w:keepLines w:val="0"/>
        <w:pageBreakBefore w:val="0"/>
        <w:widowControl w:val="0"/>
        <w:kinsoku/>
        <w:wordWrap/>
        <w:overflowPunct/>
        <w:topLinePunct w:val="0"/>
        <w:autoSpaceDE/>
        <w:autoSpaceDN/>
        <w:bidi w:val="0"/>
        <w:adjustRightInd/>
        <w:snapToGrid/>
        <w:spacing w:line="660" w:lineRule="exact"/>
        <w:ind w:firstLine="640"/>
        <w:jc w:val="left"/>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2019年度收入合计</w:t>
      </w:r>
      <w:r>
        <w:rPr>
          <w:rFonts w:hint="eastAsia" w:ascii="仿宋" w:hAnsi="仿宋" w:eastAsia="仿宋" w:cs="仿宋"/>
          <w:b w:val="0"/>
          <w:bCs w:val="0"/>
          <w:sz w:val="32"/>
          <w:szCs w:val="32"/>
          <w:highlight w:val="none"/>
          <w:lang w:val="en-US" w:eastAsia="zh-CN"/>
        </w:rPr>
        <w:t>204.12</w:t>
      </w:r>
      <w:r>
        <w:rPr>
          <w:rFonts w:hint="eastAsia" w:ascii="仿宋" w:hAnsi="仿宋" w:eastAsia="仿宋" w:cs="仿宋"/>
          <w:b w:val="0"/>
          <w:bCs w:val="0"/>
          <w:sz w:val="32"/>
          <w:szCs w:val="32"/>
          <w:highlight w:val="none"/>
        </w:rPr>
        <w:t xml:space="preserve">万元，其中：财政拨款收入24.3万元，占 </w:t>
      </w:r>
      <w:r>
        <w:rPr>
          <w:rFonts w:hint="eastAsia" w:ascii="仿宋" w:hAnsi="仿宋" w:eastAsia="仿宋" w:cs="仿宋"/>
          <w:b w:val="0"/>
          <w:bCs w:val="0"/>
          <w:sz w:val="32"/>
          <w:szCs w:val="32"/>
          <w:highlight w:val="none"/>
          <w:lang w:val="en-US" w:eastAsia="zh-CN"/>
        </w:rPr>
        <w:t>11.9</w:t>
      </w:r>
      <w:r>
        <w:rPr>
          <w:rFonts w:hint="eastAsia" w:ascii="仿宋" w:hAnsi="仿宋" w:eastAsia="仿宋" w:cs="仿宋"/>
          <w:b w:val="0"/>
          <w:bCs w:val="0"/>
          <w:sz w:val="32"/>
          <w:szCs w:val="32"/>
          <w:highlight w:val="none"/>
        </w:rPr>
        <w:t xml:space="preserve">%；事业收入179.82 万元，占 </w:t>
      </w:r>
      <w:r>
        <w:rPr>
          <w:rFonts w:hint="eastAsia" w:ascii="仿宋" w:hAnsi="仿宋" w:eastAsia="仿宋" w:cs="仿宋"/>
          <w:b w:val="0"/>
          <w:bCs w:val="0"/>
          <w:sz w:val="32"/>
          <w:szCs w:val="32"/>
          <w:highlight w:val="none"/>
          <w:lang w:val="en-US" w:eastAsia="zh-CN"/>
        </w:rPr>
        <w:t>88.1</w:t>
      </w:r>
      <w:r>
        <w:rPr>
          <w:rFonts w:hint="eastAsia" w:ascii="仿宋" w:hAnsi="仿宋" w:eastAsia="仿宋" w:cs="仿宋"/>
          <w:b w:val="0"/>
          <w:bCs w:val="0"/>
          <w:sz w:val="32"/>
          <w:szCs w:val="32"/>
          <w:highlight w:val="none"/>
        </w:rPr>
        <w:t>%；</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三、关于益阳市地质环境监测站2019年度支出决算情况说明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2019年度支出合计195.17万元，其中：基本支出100.55万元，占</w:t>
      </w:r>
      <w:r>
        <w:rPr>
          <w:rFonts w:hint="eastAsia" w:ascii="仿宋" w:hAnsi="仿宋" w:eastAsia="仿宋" w:cs="仿宋"/>
          <w:b w:val="0"/>
          <w:bCs w:val="0"/>
          <w:sz w:val="32"/>
          <w:szCs w:val="32"/>
          <w:highlight w:val="none"/>
          <w:lang w:val="en-US" w:eastAsia="zh-CN"/>
        </w:rPr>
        <w:t>51.52</w:t>
      </w:r>
      <w:r>
        <w:rPr>
          <w:rFonts w:hint="eastAsia" w:ascii="仿宋" w:hAnsi="仿宋" w:eastAsia="仿宋" w:cs="仿宋"/>
          <w:b w:val="0"/>
          <w:bCs w:val="0"/>
          <w:sz w:val="32"/>
          <w:szCs w:val="32"/>
          <w:highlight w:val="none"/>
        </w:rPr>
        <w:t>%；项目支出94.62万元，占</w:t>
      </w:r>
      <w:r>
        <w:rPr>
          <w:rFonts w:hint="eastAsia" w:ascii="仿宋" w:hAnsi="仿宋" w:eastAsia="仿宋" w:cs="仿宋"/>
          <w:b w:val="0"/>
          <w:bCs w:val="0"/>
          <w:sz w:val="32"/>
          <w:szCs w:val="32"/>
          <w:highlight w:val="none"/>
          <w:lang w:val="en-US" w:eastAsia="zh-CN"/>
        </w:rPr>
        <w:t>48.48</w:t>
      </w:r>
      <w:r>
        <w:rPr>
          <w:rFonts w:hint="eastAsia" w:ascii="仿宋" w:hAnsi="仿宋" w:eastAsia="仿宋" w:cs="仿宋"/>
          <w:b w:val="0"/>
          <w:bCs w:val="0"/>
          <w:sz w:val="32"/>
          <w:szCs w:val="32"/>
          <w:highlight w:val="none"/>
        </w:rPr>
        <w:t>%；</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 四、关于益阳市地质环境监测站2019年度财政拨款收入支出决算总体情况说明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 2019 年度财政拨款收入总计24.3万元，比上年同期增加</w:t>
      </w:r>
      <w:r>
        <w:rPr>
          <w:rFonts w:hint="eastAsia" w:ascii="仿宋" w:hAnsi="仿宋" w:eastAsia="仿宋" w:cs="仿宋"/>
          <w:b w:val="0"/>
          <w:bCs w:val="0"/>
          <w:sz w:val="32"/>
          <w:szCs w:val="32"/>
          <w:highlight w:val="none"/>
          <w:lang w:val="en-US" w:eastAsia="zh-CN"/>
        </w:rPr>
        <w:t>22.4</w:t>
      </w:r>
      <w:r>
        <w:rPr>
          <w:rFonts w:hint="eastAsia" w:ascii="仿宋" w:hAnsi="仿宋" w:eastAsia="仿宋" w:cs="仿宋"/>
          <w:b w:val="0"/>
          <w:bCs w:val="0"/>
          <w:sz w:val="32"/>
          <w:szCs w:val="32"/>
          <w:highlight w:val="none"/>
        </w:rPr>
        <w:t>万元，增长</w:t>
      </w:r>
      <w:r>
        <w:rPr>
          <w:rFonts w:hint="eastAsia" w:ascii="仿宋" w:hAnsi="仿宋" w:eastAsia="仿宋" w:cs="仿宋"/>
          <w:b w:val="0"/>
          <w:bCs w:val="0"/>
          <w:sz w:val="32"/>
          <w:szCs w:val="32"/>
          <w:highlight w:val="none"/>
          <w:lang w:val="en-US" w:eastAsia="zh-CN"/>
        </w:rPr>
        <w:t>1178.95</w:t>
      </w:r>
      <w:r>
        <w:rPr>
          <w:rFonts w:hint="eastAsia" w:ascii="仿宋" w:hAnsi="仿宋" w:eastAsia="仿宋" w:cs="仿宋"/>
          <w:b w:val="0"/>
          <w:bCs w:val="0"/>
          <w:sz w:val="32"/>
          <w:szCs w:val="32"/>
          <w:highlight w:val="none"/>
        </w:rPr>
        <w:t>%；财政拨款支出总计24.02万元，比上年同期增加</w:t>
      </w:r>
      <w:r>
        <w:rPr>
          <w:rFonts w:hint="eastAsia" w:ascii="仿宋" w:hAnsi="仿宋" w:eastAsia="仿宋" w:cs="仿宋"/>
          <w:b w:val="0"/>
          <w:bCs w:val="0"/>
          <w:sz w:val="32"/>
          <w:szCs w:val="32"/>
          <w:highlight w:val="none"/>
          <w:lang w:val="en-US" w:eastAsia="zh-CN"/>
        </w:rPr>
        <w:t>20.32</w:t>
      </w:r>
      <w:r>
        <w:rPr>
          <w:rFonts w:hint="eastAsia" w:ascii="仿宋" w:hAnsi="仿宋" w:eastAsia="仿宋" w:cs="仿宋"/>
          <w:b w:val="0"/>
          <w:bCs w:val="0"/>
          <w:sz w:val="32"/>
          <w:szCs w:val="32"/>
          <w:highlight w:val="none"/>
        </w:rPr>
        <w:t>万元，增长</w:t>
      </w:r>
      <w:r>
        <w:rPr>
          <w:rFonts w:hint="eastAsia" w:ascii="仿宋" w:hAnsi="仿宋" w:eastAsia="仿宋" w:cs="仿宋"/>
          <w:b w:val="0"/>
          <w:bCs w:val="0"/>
          <w:sz w:val="32"/>
          <w:szCs w:val="32"/>
          <w:highlight w:val="none"/>
          <w:lang w:val="en-US" w:eastAsia="zh-CN"/>
        </w:rPr>
        <w:t>549.19</w:t>
      </w:r>
      <w:r>
        <w:rPr>
          <w:rFonts w:hint="eastAsia" w:ascii="仿宋" w:hAnsi="仿宋" w:eastAsia="仿宋" w:cs="仿宋"/>
          <w:b w:val="0"/>
          <w:bCs w:val="0"/>
          <w:sz w:val="32"/>
          <w:szCs w:val="32"/>
          <w:highlight w:val="none"/>
        </w:rPr>
        <w:t>%。主要原因：</w:t>
      </w:r>
      <w:r>
        <w:rPr>
          <w:rFonts w:hint="eastAsia" w:ascii="仿宋" w:hAnsi="仿宋" w:eastAsia="仿宋" w:cs="仿宋"/>
          <w:b w:val="0"/>
          <w:bCs w:val="0"/>
          <w:sz w:val="32"/>
          <w:szCs w:val="32"/>
          <w:highlight w:val="none"/>
          <w:lang w:eastAsia="zh-CN"/>
        </w:rPr>
        <w:t>增加</w:t>
      </w:r>
      <w:r>
        <w:rPr>
          <w:rFonts w:hint="eastAsia" w:ascii="仿宋" w:hAnsi="仿宋" w:eastAsia="仿宋" w:cs="仿宋"/>
          <w:b w:val="0"/>
          <w:bCs w:val="0"/>
          <w:sz w:val="32"/>
          <w:szCs w:val="32"/>
          <w:highlight w:val="none"/>
        </w:rPr>
        <w:t>了地质灾害预警巡查项目资金。</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五、关于益阳市地质环境监测站2019年度一般公共预算财政拨款收入支出决算情况说明</w:t>
      </w:r>
    </w:p>
    <w:p>
      <w:pPr>
        <w:ind w:firstLine="32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　</w:t>
      </w:r>
      <w:r>
        <w:rPr>
          <w:rFonts w:hint="eastAsia" w:ascii="仿宋" w:hAnsi="仿宋" w:eastAsia="仿宋" w:cs="仿宋"/>
          <w:b w:val="0"/>
          <w:bCs w:val="0"/>
          <w:sz w:val="32"/>
          <w:szCs w:val="32"/>
          <w:highlight w:val="none"/>
        </w:rPr>
        <w:t>（一）一般公共预算财政拨款收入支出决算总体情况。</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 年度一般公共预算财政拨款收入总计24.3万元，比上年同期增加</w:t>
      </w:r>
      <w:r>
        <w:rPr>
          <w:rFonts w:hint="eastAsia" w:ascii="仿宋" w:hAnsi="仿宋" w:eastAsia="仿宋" w:cs="仿宋"/>
          <w:b w:val="0"/>
          <w:bCs w:val="0"/>
          <w:sz w:val="32"/>
          <w:szCs w:val="32"/>
          <w:highlight w:val="none"/>
          <w:lang w:val="en-US" w:eastAsia="zh-CN"/>
        </w:rPr>
        <w:t>22.4</w:t>
      </w:r>
      <w:r>
        <w:rPr>
          <w:rFonts w:hint="eastAsia" w:ascii="仿宋" w:hAnsi="仿宋" w:eastAsia="仿宋" w:cs="仿宋"/>
          <w:b w:val="0"/>
          <w:bCs w:val="0"/>
          <w:sz w:val="32"/>
          <w:szCs w:val="32"/>
          <w:highlight w:val="none"/>
        </w:rPr>
        <w:t>万元，增长</w:t>
      </w:r>
      <w:r>
        <w:rPr>
          <w:rFonts w:hint="eastAsia" w:ascii="仿宋" w:hAnsi="仿宋" w:eastAsia="仿宋" w:cs="仿宋"/>
          <w:b w:val="0"/>
          <w:bCs w:val="0"/>
          <w:sz w:val="32"/>
          <w:szCs w:val="32"/>
          <w:highlight w:val="none"/>
          <w:lang w:val="en-US" w:eastAsia="zh-CN"/>
        </w:rPr>
        <w:t>1178.95</w:t>
      </w:r>
      <w:r>
        <w:rPr>
          <w:rFonts w:hint="eastAsia" w:ascii="仿宋" w:hAnsi="仿宋" w:eastAsia="仿宋" w:cs="仿宋"/>
          <w:b w:val="0"/>
          <w:bCs w:val="0"/>
          <w:sz w:val="32"/>
          <w:szCs w:val="32"/>
          <w:highlight w:val="none"/>
        </w:rPr>
        <w:t>%；财政拨款支出总计24.02万元，比上年同期增加</w:t>
      </w:r>
      <w:r>
        <w:rPr>
          <w:rFonts w:hint="eastAsia" w:ascii="仿宋" w:hAnsi="仿宋" w:eastAsia="仿宋" w:cs="仿宋"/>
          <w:b w:val="0"/>
          <w:bCs w:val="0"/>
          <w:sz w:val="32"/>
          <w:szCs w:val="32"/>
          <w:highlight w:val="none"/>
          <w:lang w:val="en-US" w:eastAsia="zh-CN"/>
        </w:rPr>
        <w:t>20.32</w:t>
      </w:r>
      <w:r>
        <w:rPr>
          <w:rFonts w:hint="eastAsia" w:ascii="仿宋" w:hAnsi="仿宋" w:eastAsia="仿宋" w:cs="仿宋"/>
          <w:b w:val="0"/>
          <w:bCs w:val="0"/>
          <w:sz w:val="32"/>
          <w:szCs w:val="32"/>
          <w:highlight w:val="none"/>
        </w:rPr>
        <w:t>万元，增长</w:t>
      </w:r>
      <w:r>
        <w:rPr>
          <w:rFonts w:hint="eastAsia" w:ascii="仿宋" w:hAnsi="仿宋" w:eastAsia="仿宋" w:cs="仿宋"/>
          <w:b w:val="0"/>
          <w:bCs w:val="0"/>
          <w:sz w:val="32"/>
          <w:szCs w:val="32"/>
          <w:highlight w:val="none"/>
          <w:lang w:val="en-US" w:eastAsia="zh-CN"/>
        </w:rPr>
        <w:t>549.19</w:t>
      </w:r>
      <w:r>
        <w:rPr>
          <w:rFonts w:hint="eastAsia" w:ascii="仿宋" w:hAnsi="仿宋" w:eastAsia="仿宋" w:cs="仿宋"/>
          <w:b w:val="0"/>
          <w:bCs w:val="0"/>
          <w:sz w:val="32"/>
          <w:szCs w:val="32"/>
          <w:highlight w:val="none"/>
        </w:rPr>
        <w:t>%。主要原因：</w:t>
      </w:r>
      <w:r>
        <w:rPr>
          <w:rFonts w:hint="eastAsia" w:ascii="仿宋" w:hAnsi="仿宋" w:eastAsia="仿宋" w:cs="仿宋"/>
          <w:b w:val="0"/>
          <w:bCs w:val="0"/>
          <w:sz w:val="32"/>
          <w:szCs w:val="32"/>
          <w:highlight w:val="none"/>
          <w:lang w:eastAsia="zh-CN"/>
        </w:rPr>
        <w:t>增加</w:t>
      </w:r>
      <w:r>
        <w:rPr>
          <w:rFonts w:hint="eastAsia" w:ascii="仿宋" w:hAnsi="仿宋" w:eastAsia="仿宋" w:cs="仿宋"/>
          <w:b w:val="0"/>
          <w:bCs w:val="0"/>
          <w:sz w:val="32"/>
          <w:szCs w:val="32"/>
          <w:highlight w:val="none"/>
        </w:rPr>
        <w:t>了地质灾害预警巡查项目资金。</w:t>
      </w:r>
    </w:p>
    <w:p>
      <w:pPr>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（二）一般公共预算财政拨款支出决算构成情况。</w:t>
      </w:r>
    </w:p>
    <w:p>
      <w:pPr>
        <w:ind w:firstLine="32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　2019 年度财政拨款支出24.02万元，主要用于以下方面： 自然资源海洋气象支出1.3万元，占财政拨款支出的5.41%；灾害防治及应急管理支出22.72万元，占财政拨款支出的94.59%。</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　　</w:t>
      </w:r>
      <w:r>
        <w:rPr>
          <w:rFonts w:hint="eastAsia" w:ascii="仿宋" w:hAnsi="仿宋" w:eastAsia="仿宋" w:cs="仿宋"/>
          <w:b w:val="0"/>
          <w:bCs w:val="0"/>
          <w:sz w:val="32"/>
          <w:szCs w:val="32"/>
          <w:highlight w:val="none"/>
        </w:rPr>
        <w:t>（三）一般公共预算财政拨款支出决算具体情况。</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　　</w:t>
      </w:r>
      <w:r>
        <w:rPr>
          <w:rFonts w:hint="eastAsia" w:ascii="仿宋" w:hAnsi="仿宋" w:eastAsia="仿宋" w:cs="仿宋"/>
          <w:b w:val="0"/>
          <w:bCs w:val="0"/>
          <w:sz w:val="32"/>
          <w:szCs w:val="32"/>
          <w:highlight w:val="none"/>
        </w:rPr>
        <w:t xml:space="preserve">2019 年度财政拨款支出年初预算为 </w:t>
      </w:r>
      <w:r>
        <w:rPr>
          <w:rFonts w:hint="eastAsia" w:ascii="仿宋" w:hAnsi="仿宋" w:eastAsia="仿宋" w:cs="仿宋"/>
          <w:b w:val="0"/>
          <w:bCs w:val="0"/>
          <w:sz w:val="32"/>
          <w:szCs w:val="32"/>
          <w:highlight w:val="none"/>
          <w:lang w:val="en-US" w:eastAsia="zh-CN"/>
        </w:rPr>
        <w:t>0.1</w:t>
      </w:r>
      <w:r>
        <w:rPr>
          <w:rFonts w:hint="eastAsia" w:ascii="仿宋" w:hAnsi="仿宋" w:eastAsia="仿宋" w:cs="仿宋"/>
          <w:b w:val="0"/>
          <w:bCs w:val="0"/>
          <w:sz w:val="32"/>
          <w:szCs w:val="32"/>
          <w:highlight w:val="none"/>
        </w:rPr>
        <w:t xml:space="preserve"> 万元，支出决算为</w:t>
      </w:r>
      <w:r>
        <w:rPr>
          <w:rFonts w:hint="eastAsia" w:ascii="仿宋" w:hAnsi="仿宋" w:eastAsia="仿宋" w:cs="仿宋"/>
          <w:b w:val="0"/>
          <w:bCs w:val="0"/>
          <w:sz w:val="32"/>
          <w:szCs w:val="32"/>
          <w:highlight w:val="none"/>
          <w:lang w:val="en-US" w:eastAsia="zh-CN"/>
        </w:rPr>
        <w:t>24.02</w:t>
      </w:r>
      <w:r>
        <w:rPr>
          <w:rFonts w:hint="eastAsia" w:ascii="仿宋" w:hAnsi="仿宋" w:eastAsia="仿宋" w:cs="仿宋"/>
          <w:b w:val="0"/>
          <w:bCs w:val="0"/>
          <w:sz w:val="32"/>
          <w:szCs w:val="32"/>
          <w:highlight w:val="none"/>
        </w:rPr>
        <w:t xml:space="preserve">万元，完成年初预算的 </w:t>
      </w:r>
      <w:r>
        <w:rPr>
          <w:rFonts w:hint="eastAsia" w:ascii="仿宋" w:hAnsi="仿宋" w:eastAsia="仿宋" w:cs="仿宋"/>
          <w:b w:val="0"/>
          <w:bCs w:val="0"/>
          <w:sz w:val="32"/>
          <w:szCs w:val="32"/>
          <w:highlight w:val="none"/>
          <w:lang w:val="en-US" w:eastAsia="zh-CN"/>
        </w:rPr>
        <w:t>24020</w:t>
      </w:r>
      <w:r>
        <w:rPr>
          <w:rFonts w:hint="eastAsia" w:ascii="仿宋" w:hAnsi="仿宋" w:eastAsia="仿宋" w:cs="仿宋"/>
          <w:b w:val="0"/>
          <w:bCs w:val="0"/>
          <w:sz w:val="32"/>
          <w:szCs w:val="32"/>
          <w:highlight w:val="none"/>
        </w:rPr>
        <w:t>%。其中：</w:t>
      </w:r>
    </w:p>
    <w:p>
      <w:pPr>
        <w:numPr>
          <w:ilvl w:val="0"/>
          <w:numId w:val="0"/>
        </w:numPr>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1.行政运行财政拨款支出1.2万元，主要用于人员津贴补贴。</w:t>
      </w:r>
    </w:p>
    <w:p>
      <w:pPr>
        <w:numPr>
          <w:ilvl w:val="0"/>
          <w:numId w:val="0"/>
        </w:numPr>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val="en-US" w:eastAsia="zh-CN"/>
        </w:rPr>
        <w:t>　　2.</w:t>
      </w:r>
      <w:r>
        <w:rPr>
          <w:rFonts w:hint="eastAsia" w:ascii="仿宋" w:hAnsi="仿宋" w:eastAsia="仿宋" w:cs="仿宋"/>
          <w:b w:val="0"/>
          <w:bCs w:val="0"/>
          <w:sz w:val="32"/>
          <w:szCs w:val="32"/>
          <w:highlight w:val="none"/>
          <w:lang w:eastAsia="zh-CN"/>
        </w:rPr>
        <w:t>事业运行财政拨款支出</w:t>
      </w:r>
      <w:r>
        <w:rPr>
          <w:rFonts w:hint="eastAsia" w:ascii="仿宋" w:hAnsi="仿宋" w:eastAsia="仿宋" w:cs="仿宋"/>
          <w:b w:val="0"/>
          <w:bCs w:val="0"/>
          <w:sz w:val="32"/>
          <w:szCs w:val="32"/>
          <w:highlight w:val="none"/>
          <w:lang w:val="en-US" w:eastAsia="zh-CN"/>
        </w:rPr>
        <w:t>0.1万元，主要用于人员经费和日常公用经费等。</w:t>
      </w:r>
    </w:p>
    <w:p>
      <w:pPr>
        <w:numPr>
          <w:ilvl w:val="0"/>
          <w:numId w:val="0"/>
        </w:num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　　3.</w:t>
      </w:r>
      <w:r>
        <w:rPr>
          <w:rFonts w:hint="eastAsia" w:ascii="仿宋" w:hAnsi="仿宋" w:eastAsia="仿宋" w:cs="仿宋"/>
          <w:b w:val="0"/>
          <w:bCs w:val="0"/>
          <w:sz w:val="32"/>
          <w:szCs w:val="32"/>
          <w:highlight w:val="none"/>
          <w:lang w:eastAsia="zh-CN"/>
        </w:rPr>
        <w:t>地质灾害防治财政拨款支出</w:t>
      </w:r>
      <w:r>
        <w:rPr>
          <w:rFonts w:hint="eastAsia" w:ascii="仿宋" w:hAnsi="仿宋" w:eastAsia="仿宋" w:cs="仿宋"/>
          <w:b w:val="0"/>
          <w:bCs w:val="0"/>
          <w:sz w:val="32"/>
          <w:szCs w:val="32"/>
          <w:highlight w:val="none"/>
          <w:lang w:val="en-US" w:eastAsia="zh-CN"/>
        </w:rPr>
        <w:t>22.72元，主要用于</w:t>
      </w:r>
      <w:r>
        <w:rPr>
          <w:rFonts w:hint="eastAsia" w:ascii="仿宋" w:hAnsi="仿宋" w:eastAsia="仿宋" w:cs="仿宋"/>
          <w:b w:val="0"/>
          <w:bCs w:val="0"/>
          <w:sz w:val="32"/>
          <w:szCs w:val="32"/>
          <w:highlight w:val="none"/>
        </w:rPr>
        <w:t>灾害防治及应急管理</w:t>
      </w:r>
      <w:r>
        <w:rPr>
          <w:rFonts w:hint="eastAsia" w:ascii="仿宋" w:hAnsi="仿宋" w:eastAsia="仿宋" w:cs="仿宋"/>
          <w:b w:val="0"/>
          <w:bCs w:val="0"/>
          <w:sz w:val="32"/>
          <w:szCs w:val="32"/>
          <w:highlight w:val="none"/>
          <w:lang w:eastAsia="zh-CN"/>
        </w:rPr>
        <w:t>等。</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六、关于益阳市地质环境监测站2019年度一般公共预算财政拨款基本支出决算情况说明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2019年度一般公共预算财政拨款基本支出</w:t>
      </w:r>
      <w:r>
        <w:rPr>
          <w:rFonts w:hint="eastAsia" w:ascii="仿宋" w:hAnsi="仿宋" w:eastAsia="仿宋" w:cs="仿宋"/>
          <w:b w:val="0"/>
          <w:bCs w:val="0"/>
          <w:sz w:val="32"/>
          <w:szCs w:val="32"/>
          <w:highlight w:val="none"/>
          <w:lang w:val="en-US" w:eastAsia="zh-CN"/>
        </w:rPr>
        <w:t>1.3</w:t>
      </w:r>
      <w:r>
        <w:rPr>
          <w:rFonts w:hint="eastAsia" w:ascii="仿宋" w:hAnsi="仿宋" w:eastAsia="仿宋" w:cs="仿宋"/>
          <w:b w:val="0"/>
          <w:bCs w:val="0"/>
          <w:sz w:val="32"/>
          <w:szCs w:val="32"/>
          <w:highlight w:val="none"/>
        </w:rPr>
        <w:t>万元，其中人员经费支出</w:t>
      </w:r>
      <w:r>
        <w:rPr>
          <w:rFonts w:hint="eastAsia" w:ascii="仿宋" w:hAnsi="仿宋" w:eastAsia="仿宋" w:cs="仿宋"/>
          <w:b w:val="0"/>
          <w:bCs w:val="0"/>
          <w:sz w:val="32"/>
          <w:szCs w:val="32"/>
          <w:highlight w:val="none"/>
          <w:lang w:val="en-US" w:eastAsia="zh-CN"/>
        </w:rPr>
        <w:t>1.2</w:t>
      </w:r>
      <w:r>
        <w:rPr>
          <w:rFonts w:hint="eastAsia" w:ascii="仿宋" w:hAnsi="仿宋" w:eastAsia="仿宋" w:cs="仿宋"/>
          <w:b w:val="0"/>
          <w:bCs w:val="0"/>
          <w:sz w:val="32"/>
          <w:szCs w:val="32"/>
          <w:highlight w:val="none"/>
        </w:rPr>
        <w:t>万元，主要包括：基本工资、津贴补贴</w:t>
      </w:r>
      <w:r>
        <w:rPr>
          <w:rFonts w:hint="eastAsia" w:ascii="仿宋" w:hAnsi="仿宋" w:eastAsia="仿宋" w:cs="仿宋"/>
          <w:b w:val="0"/>
          <w:bCs w:val="0"/>
          <w:sz w:val="32"/>
          <w:szCs w:val="32"/>
          <w:highlight w:val="none"/>
          <w:lang w:eastAsia="zh-CN"/>
        </w:rPr>
        <w:t>等</w:t>
      </w:r>
      <w:r>
        <w:rPr>
          <w:rFonts w:hint="eastAsia" w:ascii="仿宋" w:hAnsi="仿宋" w:eastAsia="仿宋" w:cs="仿宋"/>
          <w:b w:val="0"/>
          <w:bCs w:val="0"/>
          <w:sz w:val="32"/>
          <w:szCs w:val="32"/>
          <w:highlight w:val="none"/>
        </w:rPr>
        <w:t>；公用经费支出</w:t>
      </w:r>
      <w:r>
        <w:rPr>
          <w:rFonts w:hint="eastAsia" w:ascii="仿宋" w:hAnsi="仿宋" w:eastAsia="仿宋" w:cs="仿宋"/>
          <w:b w:val="0"/>
          <w:bCs w:val="0"/>
          <w:sz w:val="32"/>
          <w:szCs w:val="32"/>
          <w:highlight w:val="none"/>
          <w:lang w:val="en-US" w:eastAsia="zh-CN"/>
        </w:rPr>
        <w:t>0.1</w:t>
      </w:r>
      <w:r>
        <w:rPr>
          <w:rFonts w:hint="eastAsia" w:ascii="仿宋" w:hAnsi="仿宋" w:eastAsia="仿宋" w:cs="仿宋"/>
          <w:b w:val="0"/>
          <w:bCs w:val="0"/>
          <w:sz w:val="32"/>
          <w:szCs w:val="32"/>
          <w:highlight w:val="none"/>
        </w:rPr>
        <w:t>万元。主要包括：办公费</w:t>
      </w:r>
      <w:r>
        <w:rPr>
          <w:rFonts w:hint="eastAsia" w:ascii="仿宋" w:hAnsi="仿宋" w:eastAsia="仿宋" w:cs="仿宋"/>
          <w:b w:val="0"/>
          <w:bCs w:val="0"/>
          <w:sz w:val="32"/>
          <w:szCs w:val="32"/>
          <w:highlight w:val="none"/>
          <w:lang w:eastAsia="zh-CN"/>
        </w:rPr>
        <w:t>、邮电费</w:t>
      </w:r>
      <w:r>
        <w:rPr>
          <w:rFonts w:hint="eastAsia" w:ascii="仿宋" w:hAnsi="仿宋" w:eastAsia="仿宋" w:cs="仿宋"/>
          <w:b w:val="0"/>
          <w:bCs w:val="0"/>
          <w:sz w:val="32"/>
          <w:szCs w:val="32"/>
          <w:highlight w:val="none"/>
        </w:rPr>
        <w:t>。</w:t>
      </w:r>
    </w:p>
    <w:p>
      <w:pPr>
        <w:numPr>
          <w:ilvl w:val="0"/>
          <w:numId w:val="3"/>
        </w:num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关于益阳市地质环境监测站单位2019年度政府性基金预算财政拨款支出决算情况说明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（一）政府性基金预算财政拨款收入支出决算总体情况。</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本单位201</w:t>
      </w:r>
      <w:r>
        <w:rPr>
          <w:rFonts w:hint="eastAsia" w:ascii="仿宋" w:hAnsi="仿宋" w:eastAsia="仿宋" w:cs="仿宋"/>
          <w:b w:val="0"/>
          <w:bCs w:val="0"/>
          <w:sz w:val="32"/>
          <w:szCs w:val="32"/>
          <w:highlight w:val="none"/>
          <w:lang w:val="en-US" w:eastAsia="zh-CN"/>
        </w:rPr>
        <w:t>9</w:t>
      </w:r>
      <w:r>
        <w:rPr>
          <w:rFonts w:hint="eastAsia" w:ascii="仿宋" w:hAnsi="仿宋" w:eastAsia="仿宋" w:cs="仿宋"/>
          <w:b w:val="0"/>
          <w:bCs w:val="0"/>
          <w:sz w:val="32"/>
          <w:szCs w:val="32"/>
          <w:highlight w:val="none"/>
        </w:rPr>
        <w:t>年度</w:t>
      </w:r>
      <w:r>
        <w:rPr>
          <w:rFonts w:hint="eastAsia" w:ascii="仿宋" w:hAnsi="仿宋" w:eastAsia="仿宋" w:cs="仿宋"/>
          <w:b w:val="0"/>
          <w:bCs w:val="0"/>
          <w:sz w:val="32"/>
          <w:szCs w:val="32"/>
          <w:highlight w:val="none"/>
          <w:lang w:eastAsia="zh-CN"/>
        </w:rPr>
        <w:t>无</w:t>
      </w:r>
      <w:r>
        <w:rPr>
          <w:rFonts w:hint="eastAsia" w:ascii="仿宋" w:hAnsi="仿宋" w:eastAsia="仿宋" w:cs="仿宋"/>
          <w:b w:val="0"/>
          <w:bCs w:val="0"/>
          <w:sz w:val="32"/>
          <w:szCs w:val="32"/>
          <w:highlight w:val="none"/>
        </w:rPr>
        <w:t>政府性基金预算财政拨款收入。</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（二）政府性基金预算财政拨款支出决算构成情况。</w:t>
      </w:r>
    </w:p>
    <w:p>
      <w:pPr>
        <w:ind w:firstLine="480" w:firstLineChars="15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 本单位201</w:t>
      </w:r>
      <w:r>
        <w:rPr>
          <w:rFonts w:hint="eastAsia" w:ascii="仿宋" w:hAnsi="仿宋" w:eastAsia="仿宋" w:cs="仿宋"/>
          <w:b w:val="0"/>
          <w:bCs w:val="0"/>
          <w:sz w:val="32"/>
          <w:szCs w:val="32"/>
          <w:highlight w:val="none"/>
          <w:lang w:val="en-US" w:eastAsia="zh-CN"/>
        </w:rPr>
        <w:t>9</w:t>
      </w:r>
      <w:r>
        <w:rPr>
          <w:rFonts w:hint="eastAsia" w:ascii="仿宋" w:hAnsi="仿宋" w:eastAsia="仿宋" w:cs="仿宋"/>
          <w:b w:val="0"/>
          <w:bCs w:val="0"/>
          <w:sz w:val="32"/>
          <w:szCs w:val="32"/>
          <w:highlight w:val="none"/>
        </w:rPr>
        <w:t>年度无政府性基金预算财政拨款收入。</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（三）政府性基金预算财政拨款支出决算具体情况。</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本单位201</w:t>
      </w:r>
      <w:r>
        <w:rPr>
          <w:rFonts w:hint="eastAsia" w:ascii="仿宋" w:hAnsi="仿宋" w:eastAsia="仿宋" w:cs="仿宋"/>
          <w:b w:val="0"/>
          <w:bCs w:val="0"/>
          <w:sz w:val="32"/>
          <w:szCs w:val="32"/>
          <w:highlight w:val="none"/>
          <w:lang w:val="en-US" w:eastAsia="zh-CN"/>
        </w:rPr>
        <w:t>9</w:t>
      </w:r>
      <w:r>
        <w:rPr>
          <w:rFonts w:hint="eastAsia" w:ascii="仿宋" w:hAnsi="仿宋" w:eastAsia="仿宋" w:cs="仿宋"/>
          <w:b w:val="0"/>
          <w:bCs w:val="0"/>
          <w:sz w:val="32"/>
          <w:szCs w:val="32"/>
          <w:highlight w:val="none"/>
        </w:rPr>
        <w:t>年度无政府性基金预算财政拨款收入。</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八、关于益阳市地质环境监测站单位2019 年度一般公共预算财政拨款“三公”经费支出决算情况说明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（一）“三公”经费财政拨款支出决算总体情况说明。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2019 年度“三公”经费财政拨款支出预算为</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万元，支出决算为</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万元，完成预算的</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 xml:space="preserve">%，其中：因公出国（境）费支出决算为 </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万元，完成预算的</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%；公务用车购置及运行费支出决算为</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万元，完成预算的</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%；公务接待费支出决算为 0.62万元，完成预算的</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%。2019 年度“三公”经费支出决算数大于</w:t>
      </w:r>
      <w:r>
        <w:rPr>
          <w:rFonts w:hint="eastAsia" w:ascii="仿宋" w:hAnsi="仿宋" w:eastAsia="仿宋" w:cs="仿宋"/>
          <w:b w:val="0"/>
          <w:bCs w:val="0"/>
          <w:sz w:val="32"/>
          <w:szCs w:val="32"/>
          <w:highlight w:val="none"/>
          <w:lang w:eastAsia="zh-CN"/>
        </w:rPr>
        <w:t>的</w:t>
      </w:r>
      <w:r>
        <w:rPr>
          <w:rFonts w:hint="eastAsia" w:ascii="仿宋" w:hAnsi="仿宋" w:eastAsia="仿宋" w:cs="仿宋"/>
          <w:b w:val="0"/>
          <w:bCs w:val="0"/>
          <w:sz w:val="32"/>
          <w:szCs w:val="32"/>
          <w:highlight w:val="none"/>
        </w:rPr>
        <w:t>主要原因：公务接待减少。</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（二）“三公”经费财政拨款支出决算具体情况说明。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 2019 年度“三公”经费财政拨款支出决算为</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万元，其中：因公出国（境）费支出决算为</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%；公务用车购置及运行费支出决算为</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 xml:space="preserve">%；公务接待费支出决算为 </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万元，占</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%。2019 年度“三公”经费支出</w:t>
      </w:r>
      <w:r>
        <w:rPr>
          <w:rFonts w:hint="eastAsia" w:ascii="仿宋" w:hAnsi="仿宋" w:eastAsia="仿宋" w:cs="仿宋"/>
          <w:b w:val="0"/>
          <w:bCs w:val="0"/>
          <w:sz w:val="32"/>
          <w:szCs w:val="32"/>
          <w:highlight w:val="none"/>
          <w:lang w:eastAsia="zh-CN"/>
        </w:rPr>
        <w:t>决</w:t>
      </w:r>
      <w:r>
        <w:rPr>
          <w:rFonts w:hint="eastAsia" w:ascii="仿宋" w:hAnsi="仿宋" w:eastAsia="仿宋" w:cs="仿宋"/>
          <w:b w:val="0"/>
          <w:bCs w:val="0"/>
          <w:sz w:val="32"/>
          <w:szCs w:val="32"/>
          <w:highlight w:val="none"/>
        </w:rPr>
        <w:t>算数小于上年决算数的主要原因：公务接待减少。</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1、因公出国（境）情况说明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无因公出国（境）情况。</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2、公务用车购置及运行经费情况说明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无公务用车购置及运行经费支出。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3、公务接待情况说明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公务接待支出</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万元，国内公务接待</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批次，接待</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九、关于 2019 年度预算绩效情况说明</w:t>
      </w:r>
    </w:p>
    <w:p>
      <w:pPr>
        <w:numPr>
          <w:ilvl w:val="0"/>
          <w:numId w:val="4"/>
        </w:numPr>
        <w:ind w:left="630" w:leftChars="0" w:firstLine="0" w:firstLineChars="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绩效管理工作开展情况。</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认真学习了财政部《财政支出绩效评价管理暂行办法》、《益阳市财政局关于转发&lt;湖南省预算绩效管理工作规程（试行）的通知&gt;》，中央、省、市相关政策精神，市委、市政府年度绩效管理办法等，成立了绩效评价工作小组，负责本部门绩效评价工作的组织领导和具体实施，拟定绩效评价方案，根据资金管理使用情况进行自查，形成绩效报告报送主管部门。我单位201８年度整体支出绩效完成较好。一是资金使用效益高。基本支出经费保障了人员工资、机关运转；二是资金使用社会效益好。专项支出经费保障了各项工作顺利开展及上级交办的一系列工作。</w:t>
      </w:r>
    </w:p>
    <w:p>
      <w:pPr>
        <w:numPr>
          <w:ilvl w:val="0"/>
          <w:numId w:val="0"/>
        </w:numPr>
        <w:ind w:firstLine="640" w:firstLineChars="200"/>
        <w:jc w:val="left"/>
        <w:rPr>
          <w:rFonts w:hint="eastAsia" w:ascii="仿宋" w:hAnsi="仿宋" w:eastAsia="仿宋" w:cs="仿宋"/>
          <w:b w:val="0"/>
          <w:bCs w:val="0"/>
          <w:sz w:val="32"/>
          <w:szCs w:val="32"/>
          <w:highlight w:val="none"/>
        </w:rPr>
      </w:pPr>
      <w:bookmarkStart w:id="0" w:name="_GoBack"/>
      <w:bookmarkEnd w:id="0"/>
      <w:r>
        <w:rPr>
          <w:rFonts w:hint="eastAsia" w:ascii="仿宋" w:hAnsi="仿宋" w:eastAsia="仿宋" w:cs="仿宋"/>
          <w:b w:val="0"/>
          <w:bCs w:val="0"/>
          <w:sz w:val="32"/>
          <w:szCs w:val="32"/>
          <w:highlight w:val="none"/>
          <w:lang w:eastAsia="zh-CN"/>
        </w:rPr>
        <w:t>（二）</w:t>
      </w:r>
      <w:r>
        <w:rPr>
          <w:rFonts w:hint="eastAsia" w:ascii="仿宋" w:hAnsi="仿宋" w:eastAsia="仿宋" w:cs="仿宋"/>
          <w:b w:val="0"/>
          <w:bCs w:val="0"/>
          <w:sz w:val="32"/>
          <w:szCs w:val="32"/>
          <w:highlight w:val="none"/>
        </w:rPr>
        <w:t>部门决算中项目绩效自评结果 。</w:t>
      </w:r>
    </w:p>
    <w:p>
      <w:pPr>
        <w:ind w:firstLine="640"/>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本部门无项目绩效自评。</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（三）以部门为主体开展的重点绩效评价 结果</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本单位无重点项目绩效评价。</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　　</w:t>
      </w:r>
      <w:r>
        <w:rPr>
          <w:rFonts w:hint="eastAsia" w:ascii="仿宋" w:hAnsi="仿宋" w:eastAsia="仿宋" w:cs="仿宋"/>
          <w:b w:val="0"/>
          <w:bCs w:val="0"/>
          <w:sz w:val="32"/>
          <w:szCs w:val="32"/>
          <w:highlight w:val="none"/>
        </w:rPr>
        <w:t>十、其他重要事项的情况说明</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（一）预决算收支增减变化情况。</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201</w:t>
      </w:r>
      <w:r>
        <w:rPr>
          <w:rFonts w:hint="eastAsia" w:ascii="仿宋" w:hAnsi="仿宋" w:eastAsia="仿宋" w:cs="仿宋"/>
          <w:b w:val="0"/>
          <w:bCs w:val="0"/>
          <w:sz w:val="32"/>
          <w:szCs w:val="32"/>
          <w:highlight w:val="none"/>
          <w:lang w:val="en-US" w:eastAsia="zh-CN"/>
        </w:rPr>
        <w:t>9</w:t>
      </w:r>
      <w:r>
        <w:rPr>
          <w:rFonts w:hint="eastAsia" w:ascii="仿宋" w:hAnsi="仿宋" w:eastAsia="仿宋" w:cs="仿宋"/>
          <w:b w:val="0"/>
          <w:bCs w:val="0"/>
          <w:sz w:val="32"/>
          <w:szCs w:val="32"/>
          <w:highlight w:val="none"/>
        </w:rPr>
        <w:t>年</w:t>
      </w:r>
      <w:r>
        <w:rPr>
          <w:rFonts w:hint="eastAsia" w:ascii="仿宋" w:hAnsi="仿宋" w:eastAsia="仿宋" w:cs="仿宋"/>
          <w:b w:val="0"/>
          <w:bCs w:val="0"/>
          <w:sz w:val="32"/>
          <w:szCs w:val="32"/>
          <w:highlight w:val="none"/>
          <w:lang w:eastAsia="zh-CN"/>
        </w:rPr>
        <w:t>初</w:t>
      </w:r>
      <w:r>
        <w:rPr>
          <w:rFonts w:hint="eastAsia" w:ascii="仿宋" w:hAnsi="仿宋" w:eastAsia="仿宋" w:cs="仿宋"/>
          <w:b w:val="0"/>
          <w:bCs w:val="0"/>
          <w:sz w:val="32"/>
          <w:szCs w:val="32"/>
          <w:highlight w:val="none"/>
        </w:rPr>
        <w:t>预算</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收入</w:t>
      </w:r>
      <w:r>
        <w:rPr>
          <w:rFonts w:hint="eastAsia" w:ascii="仿宋" w:hAnsi="仿宋" w:eastAsia="仿宋" w:cs="仿宋"/>
          <w:b w:val="0"/>
          <w:bCs w:val="0"/>
          <w:sz w:val="32"/>
          <w:szCs w:val="32"/>
          <w:highlight w:val="none"/>
          <w:lang w:eastAsia="zh-CN"/>
        </w:rPr>
        <w:t>总计</w:t>
      </w:r>
      <w:r>
        <w:rPr>
          <w:rFonts w:hint="eastAsia" w:ascii="仿宋" w:hAnsi="仿宋" w:eastAsia="仿宋" w:cs="仿宋"/>
          <w:b w:val="0"/>
          <w:bCs w:val="0"/>
          <w:sz w:val="32"/>
          <w:szCs w:val="32"/>
          <w:highlight w:val="none"/>
          <w:lang w:val="en-US" w:eastAsia="zh-CN"/>
        </w:rPr>
        <w:t>132.1</w:t>
      </w:r>
      <w:r>
        <w:rPr>
          <w:rFonts w:hint="eastAsia" w:ascii="仿宋" w:hAnsi="仿宋" w:eastAsia="仿宋" w:cs="仿宋"/>
          <w:b w:val="0"/>
          <w:bCs w:val="0"/>
          <w:sz w:val="32"/>
          <w:szCs w:val="32"/>
          <w:highlight w:val="none"/>
        </w:rPr>
        <w:t>万元，支出</w:t>
      </w:r>
      <w:r>
        <w:rPr>
          <w:rFonts w:hint="eastAsia" w:ascii="仿宋" w:hAnsi="仿宋" w:eastAsia="仿宋" w:cs="仿宋"/>
          <w:b w:val="0"/>
          <w:bCs w:val="0"/>
          <w:sz w:val="32"/>
          <w:szCs w:val="32"/>
          <w:highlight w:val="none"/>
          <w:lang w:eastAsia="zh-CN"/>
        </w:rPr>
        <w:t>总计</w:t>
      </w:r>
      <w:r>
        <w:rPr>
          <w:rFonts w:hint="eastAsia" w:ascii="仿宋" w:hAnsi="仿宋" w:eastAsia="仿宋" w:cs="仿宋"/>
          <w:b w:val="0"/>
          <w:bCs w:val="0"/>
          <w:sz w:val="32"/>
          <w:szCs w:val="32"/>
          <w:highlight w:val="none"/>
          <w:lang w:val="en-US" w:eastAsia="zh-CN"/>
        </w:rPr>
        <w:t>132.1</w:t>
      </w:r>
      <w:r>
        <w:rPr>
          <w:rFonts w:hint="eastAsia" w:ascii="仿宋" w:hAnsi="仿宋" w:eastAsia="仿宋" w:cs="仿宋"/>
          <w:b w:val="0"/>
          <w:bCs w:val="0"/>
          <w:sz w:val="32"/>
          <w:szCs w:val="32"/>
          <w:highlight w:val="none"/>
        </w:rPr>
        <w:t>万元；201</w:t>
      </w:r>
      <w:r>
        <w:rPr>
          <w:rFonts w:hint="eastAsia" w:ascii="仿宋" w:hAnsi="仿宋" w:eastAsia="仿宋" w:cs="仿宋"/>
          <w:b w:val="0"/>
          <w:bCs w:val="0"/>
          <w:sz w:val="32"/>
          <w:szCs w:val="32"/>
          <w:highlight w:val="none"/>
          <w:lang w:val="en-US" w:eastAsia="zh-CN"/>
        </w:rPr>
        <w:t>9</w:t>
      </w:r>
      <w:r>
        <w:rPr>
          <w:rFonts w:hint="eastAsia" w:ascii="仿宋" w:hAnsi="仿宋" w:eastAsia="仿宋" w:cs="仿宋"/>
          <w:b w:val="0"/>
          <w:bCs w:val="0"/>
          <w:sz w:val="32"/>
          <w:szCs w:val="32"/>
          <w:highlight w:val="none"/>
        </w:rPr>
        <w:t>年度决算</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收入</w:t>
      </w:r>
      <w:r>
        <w:rPr>
          <w:rFonts w:hint="eastAsia" w:ascii="仿宋" w:hAnsi="仿宋" w:eastAsia="仿宋" w:cs="仿宋"/>
          <w:b w:val="0"/>
          <w:bCs w:val="0"/>
          <w:sz w:val="32"/>
          <w:szCs w:val="32"/>
          <w:highlight w:val="none"/>
          <w:lang w:eastAsia="zh-CN"/>
        </w:rPr>
        <w:t>总计</w:t>
      </w:r>
      <w:r>
        <w:rPr>
          <w:rFonts w:hint="eastAsia" w:ascii="仿宋" w:hAnsi="仿宋" w:eastAsia="仿宋" w:cs="仿宋"/>
          <w:b w:val="0"/>
          <w:bCs w:val="0"/>
          <w:sz w:val="32"/>
          <w:szCs w:val="32"/>
          <w:highlight w:val="none"/>
          <w:lang w:val="en-US" w:eastAsia="zh-CN"/>
        </w:rPr>
        <w:t>204.12</w:t>
      </w:r>
      <w:r>
        <w:rPr>
          <w:rFonts w:hint="eastAsia" w:ascii="仿宋" w:hAnsi="仿宋" w:eastAsia="仿宋" w:cs="仿宋"/>
          <w:b w:val="0"/>
          <w:bCs w:val="0"/>
          <w:sz w:val="32"/>
          <w:szCs w:val="32"/>
          <w:highlight w:val="none"/>
        </w:rPr>
        <w:t>万元，支出</w:t>
      </w:r>
      <w:r>
        <w:rPr>
          <w:rFonts w:hint="eastAsia" w:ascii="仿宋" w:hAnsi="仿宋" w:eastAsia="仿宋" w:cs="仿宋"/>
          <w:b w:val="0"/>
          <w:bCs w:val="0"/>
          <w:sz w:val="32"/>
          <w:szCs w:val="32"/>
          <w:highlight w:val="none"/>
          <w:lang w:eastAsia="zh-CN"/>
        </w:rPr>
        <w:t>总计</w:t>
      </w:r>
      <w:r>
        <w:rPr>
          <w:rFonts w:hint="eastAsia" w:ascii="仿宋" w:hAnsi="仿宋" w:eastAsia="仿宋" w:cs="仿宋"/>
          <w:b w:val="0"/>
          <w:bCs w:val="0"/>
          <w:sz w:val="32"/>
          <w:szCs w:val="32"/>
          <w:highlight w:val="none"/>
          <w:lang w:val="en-US" w:eastAsia="zh-CN"/>
        </w:rPr>
        <w:t>195.17</w:t>
      </w:r>
      <w:r>
        <w:rPr>
          <w:rFonts w:hint="eastAsia" w:ascii="仿宋" w:hAnsi="仿宋" w:eastAsia="仿宋" w:cs="仿宋"/>
          <w:b w:val="0"/>
          <w:bCs w:val="0"/>
          <w:sz w:val="32"/>
          <w:szCs w:val="32"/>
          <w:highlight w:val="none"/>
        </w:rPr>
        <w:t>万元。</w:t>
      </w:r>
    </w:p>
    <w:p>
      <w:pPr>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（二）机关运行经费支出情况。</w:t>
      </w:r>
    </w:p>
    <w:p>
      <w:p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rPr>
        <w:t> 机关运行经费支出0</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万元，</w:t>
      </w:r>
      <w:r>
        <w:rPr>
          <w:rFonts w:hint="eastAsia" w:ascii="仿宋" w:hAnsi="仿宋" w:eastAsia="仿宋" w:cs="仿宋"/>
          <w:b w:val="0"/>
          <w:bCs w:val="0"/>
          <w:sz w:val="32"/>
          <w:szCs w:val="32"/>
          <w:highlight w:val="none"/>
          <w:lang w:eastAsia="zh-CN"/>
        </w:rPr>
        <w:t>较上年增加</w:t>
      </w:r>
      <w:r>
        <w:rPr>
          <w:rFonts w:hint="eastAsia" w:ascii="仿宋" w:hAnsi="仿宋" w:eastAsia="仿宋" w:cs="仿宋"/>
          <w:b w:val="0"/>
          <w:bCs w:val="0"/>
          <w:sz w:val="32"/>
          <w:szCs w:val="32"/>
          <w:highlight w:val="none"/>
          <w:lang w:val="en-US" w:eastAsia="zh-CN"/>
        </w:rPr>
        <w:t>0.1万元，增加100%，</w:t>
      </w:r>
      <w:r>
        <w:rPr>
          <w:rFonts w:hint="eastAsia" w:ascii="仿宋" w:hAnsi="仿宋" w:eastAsia="仿宋" w:cs="仿宋"/>
          <w:b w:val="0"/>
          <w:bCs w:val="0"/>
          <w:sz w:val="32"/>
          <w:szCs w:val="32"/>
          <w:highlight w:val="none"/>
        </w:rPr>
        <w:t>主要原因是</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201</w:t>
      </w:r>
      <w:r>
        <w:rPr>
          <w:rFonts w:hint="eastAsia" w:ascii="仿宋" w:hAnsi="仿宋" w:eastAsia="仿宋" w:cs="仿宋"/>
          <w:b w:val="0"/>
          <w:bCs w:val="0"/>
          <w:sz w:val="32"/>
          <w:szCs w:val="32"/>
          <w:highlight w:val="none"/>
          <w:lang w:val="en-US" w:eastAsia="zh-CN"/>
        </w:rPr>
        <w:t>8</w:t>
      </w:r>
      <w:r>
        <w:rPr>
          <w:rFonts w:hint="eastAsia" w:ascii="仿宋" w:hAnsi="仿宋" w:eastAsia="仿宋" w:cs="仿宋"/>
          <w:b w:val="0"/>
          <w:bCs w:val="0"/>
          <w:sz w:val="32"/>
          <w:szCs w:val="32"/>
          <w:highlight w:val="none"/>
        </w:rPr>
        <w:t>年机关运行经费支出主要来源为非财政资金</w:t>
      </w:r>
      <w:r>
        <w:rPr>
          <w:rFonts w:hint="eastAsia" w:ascii="仿宋" w:hAnsi="仿宋" w:eastAsia="仿宋" w:cs="仿宋"/>
          <w:b w:val="0"/>
          <w:bCs w:val="0"/>
          <w:sz w:val="32"/>
          <w:szCs w:val="32"/>
          <w:highlight w:val="none"/>
          <w:lang w:eastAsia="zh-CN"/>
        </w:rPr>
        <w:t>。</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（三）政府采购支出情况。</w:t>
      </w:r>
    </w:p>
    <w:p>
      <w:p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eastAsia="zh-CN"/>
        </w:rPr>
        <w:t>本单位</w:t>
      </w:r>
      <w:r>
        <w:rPr>
          <w:rFonts w:hint="eastAsia" w:ascii="仿宋" w:hAnsi="仿宋" w:eastAsia="仿宋" w:cs="仿宋"/>
          <w:b w:val="0"/>
          <w:bCs w:val="0"/>
          <w:sz w:val="32"/>
          <w:szCs w:val="32"/>
          <w:highlight w:val="none"/>
          <w:lang w:val="en-US" w:eastAsia="zh-CN"/>
        </w:rPr>
        <w:t>2019年度无政府采购支出。</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（四）国有资产占用情况。</w:t>
      </w:r>
    </w:p>
    <w:p>
      <w:pPr>
        <w:ind w:firstLine="64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截至201</w:t>
      </w:r>
      <w:r>
        <w:rPr>
          <w:rFonts w:hint="eastAsia" w:ascii="仿宋" w:hAnsi="仿宋" w:eastAsia="仿宋" w:cs="仿宋"/>
          <w:b w:val="0"/>
          <w:bCs w:val="0"/>
          <w:sz w:val="32"/>
          <w:szCs w:val="32"/>
          <w:highlight w:val="none"/>
          <w:lang w:val="en-US" w:eastAsia="zh-CN"/>
        </w:rPr>
        <w:t>9</w:t>
      </w:r>
      <w:r>
        <w:rPr>
          <w:rFonts w:hint="eastAsia" w:ascii="仿宋" w:hAnsi="仿宋" w:eastAsia="仿宋" w:cs="仿宋"/>
          <w:b w:val="0"/>
          <w:bCs w:val="0"/>
          <w:sz w:val="32"/>
          <w:szCs w:val="32"/>
          <w:highlight w:val="none"/>
        </w:rPr>
        <w:t>年12月31日，本部门共有车辆0辆，其中，领导干部用车0辆、一般公务用车0辆、一般执法执勤用车0辆、特种专业技术用车0辆、其他用车0辆；单位价值50万元以上通用设备0台(套)，单价100万正以上专用设备0台(套)。</w:t>
      </w:r>
    </w:p>
    <w:p>
      <w:pPr>
        <w:jc w:val="center"/>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第四部分 名词解释</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一、财政拨款收入：指中央财政当年拨付的资金。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二、事业收入：指事业单位开展专业业务活动及辅助活动所取得的收入。如：中国财政杂志社的刊物发行收入，中国注册会计师协会、中国资产评估协会、中国国债协会、中国会计学会收取的会费收入等。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三、经营收入：指事业单位在专业业务活动及其辅助活动之外开展非独立核算经营活动取得的收入。如：中国财政杂志社广告收入等。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四、其他收入：指除上述“财政拨款收入” 、 “事业收入” 、“经营收入”等以外的收入。主要是按规定动用的售房收入、存款利息收入等。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六、年初结转和结余：指以前年度尚未完成、结转到本年按有关规定继续使用的资金。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七、结余分配：指事业单位按规定提取的职工福利基金、事业基金和缴纳的所得税，以及建设单位按规定应交回的基本建设竣工项目结余资金。</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八、年末结转和结余：指本年度或以前年度预算安排、因客观条件发生变化无法按原计划实施，需要延迟到以后年度按有关规定继续使用的资金。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九、基本支出：指为保障机构正常运转、完成日常工</w:t>
      </w:r>
    </w:p>
    <w:p>
      <w:pPr>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作任务而发生的人员支出和公用支出。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十、项目支出：指在基本支出之外为完成特定行政任务和事业发展目标所发生的支出。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十一、经营支出：指事业单位在专业业务活动及其辅助活动之外开展非独立核算经营活动发生的支出。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 xml:space="preserve">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hint="eastAsia" w:ascii="仿宋" w:hAnsi="仿宋" w:eastAsia="仿宋" w:cs="仿宋"/>
          <w:b w:val="0"/>
          <w:bCs w:val="0"/>
          <w:sz w:val="32"/>
          <w:szCs w:val="32"/>
          <w:highlight w:val="none"/>
        </w:rPr>
      </w:pPr>
    </w:p>
    <w:p>
      <w:pPr>
        <w:ind w:left="640"/>
        <w:jc w:val="left"/>
        <w:rPr>
          <w:rFonts w:hint="eastAsia" w:ascii="仿宋" w:hAnsi="仿宋" w:eastAsia="仿宋" w:cs="仿宋"/>
          <w:b w:val="0"/>
          <w:bCs w:val="0"/>
          <w:sz w:val="32"/>
          <w:szCs w:val="32"/>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2906F537-7E4D-4AD0-84BF-4FC62A43D97E}"/>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3604E"/>
    <w:multiLevelType w:val="singleLevel"/>
    <w:tmpl w:val="87F3604E"/>
    <w:lvl w:ilvl="0" w:tentative="0">
      <w:start w:val="1"/>
      <w:numFmt w:val="chineseCounting"/>
      <w:suff w:val="nothing"/>
      <w:lvlText w:val="（%1）"/>
      <w:lvlJc w:val="left"/>
      <w:pPr>
        <w:ind w:left="630" w:leftChars="0" w:firstLine="0" w:firstLineChars="0"/>
      </w:pPr>
      <w:rPr>
        <w:rFonts w:hint="eastAsia"/>
      </w:rPr>
    </w:lvl>
  </w:abstractNum>
  <w:abstractNum w:abstractNumId="1">
    <w:nsid w:val="98D53D6B"/>
    <w:multiLevelType w:val="singleLevel"/>
    <w:tmpl w:val="98D53D6B"/>
    <w:lvl w:ilvl="0" w:tentative="0">
      <w:start w:val="4"/>
      <w:numFmt w:val="chineseCounting"/>
      <w:suff w:val="space"/>
      <w:lvlText w:val="第%1部分"/>
      <w:lvlJc w:val="left"/>
      <w:rPr>
        <w:rFonts w:hint="eastAsia"/>
      </w:rPr>
    </w:lvl>
  </w:abstractNum>
  <w:abstractNum w:abstractNumId="2">
    <w:nsid w:val="66F662DB"/>
    <w:multiLevelType w:val="singleLevel"/>
    <w:tmpl w:val="66F662DB"/>
    <w:lvl w:ilvl="0" w:tentative="0">
      <w:start w:val="2"/>
      <w:numFmt w:val="chineseCounting"/>
      <w:suff w:val="space"/>
      <w:lvlText w:val="第%1部分"/>
      <w:lvlJc w:val="left"/>
      <w:rPr>
        <w:rFonts w:hint="eastAsia"/>
      </w:rPr>
    </w:lvl>
  </w:abstractNum>
  <w:abstractNum w:abstractNumId="3">
    <w:nsid w:val="746C01EF"/>
    <w:multiLevelType w:val="singleLevel"/>
    <w:tmpl w:val="746C01EF"/>
    <w:lvl w:ilvl="0" w:tentative="0">
      <w:start w:val="7"/>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E18A6"/>
    <w:rsid w:val="00DF6FA5"/>
    <w:rsid w:val="00E517E0"/>
    <w:rsid w:val="00EC2A23"/>
    <w:rsid w:val="00EC2AAC"/>
    <w:rsid w:val="00F322AD"/>
    <w:rsid w:val="00F35C36"/>
    <w:rsid w:val="00F44513"/>
    <w:rsid w:val="00F90EA9"/>
    <w:rsid w:val="00F94200"/>
    <w:rsid w:val="00FE3F03"/>
    <w:rsid w:val="01242D76"/>
    <w:rsid w:val="0BE207A5"/>
    <w:rsid w:val="0EA64784"/>
    <w:rsid w:val="11DD7318"/>
    <w:rsid w:val="1202019D"/>
    <w:rsid w:val="15105A90"/>
    <w:rsid w:val="1CA21DA8"/>
    <w:rsid w:val="1E4D55AF"/>
    <w:rsid w:val="1F5623BF"/>
    <w:rsid w:val="20215A93"/>
    <w:rsid w:val="208B0D41"/>
    <w:rsid w:val="22FB2837"/>
    <w:rsid w:val="29236200"/>
    <w:rsid w:val="2B4363D9"/>
    <w:rsid w:val="2C5E486D"/>
    <w:rsid w:val="2D064B51"/>
    <w:rsid w:val="2F1F6121"/>
    <w:rsid w:val="30530F5D"/>
    <w:rsid w:val="335A5397"/>
    <w:rsid w:val="33FF42A6"/>
    <w:rsid w:val="386811B5"/>
    <w:rsid w:val="38CE5F3A"/>
    <w:rsid w:val="3A6468C3"/>
    <w:rsid w:val="3CDC6A98"/>
    <w:rsid w:val="3D782CAD"/>
    <w:rsid w:val="409F5B16"/>
    <w:rsid w:val="42A2092F"/>
    <w:rsid w:val="43CE0209"/>
    <w:rsid w:val="494D1FE3"/>
    <w:rsid w:val="4AC218F6"/>
    <w:rsid w:val="4B434900"/>
    <w:rsid w:val="536808C7"/>
    <w:rsid w:val="543071D1"/>
    <w:rsid w:val="54DD27AF"/>
    <w:rsid w:val="55AB09B5"/>
    <w:rsid w:val="568C2012"/>
    <w:rsid w:val="5C120BD2"/>
    <w:rsid w:val="5E9730FE"/>
    <w:rsid w:val="5ECF1F22"/>
    <w:rsid w:val="5F831B24"/>
    <w:rsid w:val="600F4432"/>
    <w:rsid w:val="62694C19"/>
    <w:rsid w:val="663169A8"/>
    <w:rsid w:val="69D823F9"/>
    <w:rsid w:val="6B7A143A"/>
    <w:rsid w:val="6C024D47"/>
    <w:rsid w:val="6CE1731D"/>
    <w:rsid w:val="6D495B30"/>
    <w:rsid w:val="702D5853"/>
    <w:rsid w:val="712654C2"/>
    <w:rsid w:val="71E27BBB"/>
    <w:rsid w:val="73D75F0E"/>
    <w:rsid w:val="7B14184C"/>
    <w:rsid w:val="7B2B38F4"/>
    <w:rsid w:val="7CFB51E1"/>
    <w:rsid w:val="7DC60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8"/>
    <w:semiHidden/>
    <w:unhideWhenUsed/>
    <w:qFormat/>
    <w:uiPriority w:val="99"/>
    <w:pPr>
      <w:tabs>
        <w:tab w:val="center" w:pos="4153"/>
        <w:tab w:val="right" w:pos="8306"/>
      </w:tabs>
      <w:snapToGrid w:val="0"/>
      <w:jc w:val="left"/>
    </w:pPr>
    <w:rPr>
      <w:sz w:val="18"/>
      <w:szCs w:val="18"/>
    </w:rPr>
  </w:style>
  <w:style w:type="paragraph" w:styleId="3">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FollowedHyperlink"/>
    <w:basedOn w:val="6"/>
    <w:semiHidden/>
    <w:unhideWhenUsed/>
    <w:qFormat/>
    <w:uiPriority w:val="99"/>
    <w:rPr>
      <w:color w:val="800080"/>
      <w:u w:val="none"/>
    </w:rPr>
  </w:style>
  <w:style w:type="character" w:styleId="8">
    <w:name w:val="Emphasis"/>
    <w:basedOn w:val="6"/>
    <w:qFormat/>
    <w:uiPriority w:val="20"/>
  </w:style>
  <w:style w:type="character" w:styleId="9">
    <w:name w:val="HTML Definition"/>
    <w:basedOn w:val="6"/>
    <w:semiHidden/>
    <w:unhideWhenUsed/>
    <w:qFormat/>
    <w:uiPriority w:val="99"/>
  </w:style>
  <w:style w:type="character" w:styleId="10">
    <w:name w:val="HTML Typewriter"/>
    <w:basedOn w:val="6"/>
    <w:semiHidden/>
    <w:unhideWhenUsed/>
    <w:qFormat/>
    <w:uiPriority w:val="99"/>
    <w:rPr>
      <w:rFonts w:hint="default" w:ascii="Courier New" w:hAnsi="Courier New" w:cs="Courier New"/>
      <w:sz w:val="20"/>
    </w:rPr>
  </w:style>
  <w:style w:type="character" w:styleId="11">
    <w:name w:val="HTML Variable"/>
    <w:basedOn w:val="6"/>
    <w:semiHidden/>
    <w:unhideWhenUsed/>
    <w:qFormat/>
    <w:uiPriority w:val="99"/>
  </w:style>
  <w:style w:type="character" w:styleId="12">
    <w:name w:val="Hyperlink"/>
    <w:basedOn w:val="6"/>
    <w:unhideWhenUsed/>
    <w:qFormat/>
    <w:uiPriority w:val="99"/>
    <w:rPr>
      <w:color w:val="0000FF" w:themeColor="hyperlink"/>
      <w:u w:val="single"/>
    </w:rPr>
  </w:style>
  <w:style w:type="character" w:styleId="13">
    <w:name w:val="HTML Code"/>
    <w:basedOn w:val="6"/>
    <w:semiHidden/>
    <w:unhideWhenUsed/>
    <w:qFormat/>
    <w:uiPriority w:val="99"/>
    <w:rPr>
      <w:rFonts w:hint="default" w:ascii="Courier New" w:hAnsi="Courier New" w:cs="Courier New"/>
      <w:sz w:val="20"/>
    </w:rPr>
  </w:style>
  <w:style w:type="character" w:styleId="14">
    <w:name w:val="HTML Cite"/>
    <w:basedOn w:val="6"/>
    <w:semiHidden/>
    <w:unhideWhenUsed/>
    <w:qFormat/>
    <w:uiPriority w:val="99"/>
  </w:style>
  <w:style w:type="character" w:styleId="15">
    <w:name w:val="HTML Keyboard"/>
    <w:basedOn w:val="6"/>
    <w:semiHidden/>
    <w:unhideWhenUsed/>
    <w:qFormat/>
    <w:uiPriority w:val="99"/>
    <w:rPr>
      <w:rFonts w:ascii="Courier New" w:hAnsi="Courier New" w:cs="Courier New"/>
      <w:sz w:val="20"/>
    </w:rPr>
  </w:style>
  <w:style w:type="character" w:styleId="16">
    <w:name w:val="HTML Sample"/>
    <w:basedOn w:val="6"/>
    <w:semiHidden/>
    <w:unhideWhenUsed/>
    <w:qFormat/>
    <w:uiPriority w:val="99"/>
    <w:rPr>
      <w:rFonts w:hint="default" w:ascii="Courier New" w:hAnsi="Courier New" w:cs="Courier New"/>
    </w:rPr>
  </w:style>
  <w:style w:type="character" w:customStyle="1" w:styleId="17">
    <w:name w:val="页眉 Char"/>
    <w:basedOn w:val="6"/>
    <w:link w:val="3"/>
    <w:semiHidden/>
    <w:qFormat/>
    <w:uiPriority w:val="99"/>
    <w:rPr>
      <w:sz w:val="18"/>
      <w:szCs w:val="18"/>
    </w:rPr>
  </w:style>
  <w:style w:type="character" w:customStyle="1" w:styleId="18">
    <w:name w:val="页脚 Char"/>
    <w:basedOn w:val="6"/>
    <w:link w:val="2"/>
    <w:semiHidden/>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bsharetext"/>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0</TotalTime>
  <ScaleCrop>false</ScaleCrop>
  <LinksUpToDate>false</LinksUpToDate>
  <CharactersWithSpaces>5059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TYY</dc:creator>
  <cp:lastModifiedBy>姚逸</cp:lastModifiedBy>
  <dcterms:modified xsi:type="dcterms:W3CDTF">2021-05-24T06:56:22Z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2A6F34849743485CB976929872E056CD</vt:lpwstr>
  </property>
</Properties>
</file>