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20" w:lineRule="exact"/>
        <w:rPr>
          <w:rFonts w:ascii="Times New Roman"/>
        </w:rPr>
      </w:pPr>
    </w:p>
    <w:p>
      <w:pPr>
        <w:topLinePunct/>
        <w:spacing w:line="640" w:lineRule="exact"/>
        <w:jc w:val="center"/>
        <w:rPr>
          <w:rFonts w:ascii="方正小标宋_GBK" w:eastAsia="方正小标宋_GBK"/>
          <w:sz w:val="44"/>
        </w:rPr>
      </w:pPr>
      <w:r>
        <w:rPr>
          <w:rFonts w:hint="eastAsia" w:ascii="方正小标宋_GBK" w:eastAsia="方正小标宋_GBK"/>
          <w:sz w:val="44"/>
        </w:rPr>
        <w:t>20</w:t>
      </w:r>
      <w:r>
        <w:rPr>
          <w:rFonts w:hint="eastAsia" w:ascii="方正小标宋_GBK" w:eastAsia="方正小标宋_GBK"/>
          <w:sz w:val="44"/>
          <w:lang w:val="en-US" w:eastAsia="zh-CN"/>
        </w:rPr>
        <w:t>20</w:t>
      </w:r>
      <w:r>
        <w:rPr>
          <w:rFonts w:hint="eastAsia" w:ascii="方正小标宋_GBK" w:eastAsia="方正小标宋_GBK"/>
          <w:sz w:val="44"/>
        </w:rPr>
        <w:t>年市本级国有资本经营预算编制说明</w:t>
      </w:r>
    </w:p>
    <w:p>
      <w:pPr>
        <w:topLinePunct/>
        <w:jc w:val="center"/>
        <w:rPr>
          <w:rFonts w:ascii="Times New Roman"/>
        </w:rPr>
      </w:pPr>
    </w:p>
    <w:p>
      <w:pPr>
        <w:topLinePunct/>
        <w:ind w:firstLine="654" w:firstLineChars="200"/>
      </w:pPr>
      <w:r>
        <w:rPr>
          <w:rFonts w:hint="eastAsia"/>
        </w:rPr>
        <w:t>根据益阳市财政局关于印发《益阳市市级国有资本经营预算管理办法》的通知（益财企〔2018〕225号）和《益阳市财政局关于编报20</w:t>
      </w:r>
      <w:r>
        <w:rPr>
          <w:rFonts w:hint="eastAsia"/>
          <w:lang w:val="en-US" w:eastAsia="zh-CN"/>
        </w:rPr>
        <w:t>20</w:t>
      </w:r>
      <w:r>
        <w:rPr>
          <w:rFonts w:hint="eastAsia"/>
        </w:rPr>
        <w:t>年度市级国有资本经营预算有关事项的通知》（益财企〔201</w:t>
      </w:r>
      <w:r>
        <w:rPr>
          <w:rFonts w:hint="eastAsia"/>
          <w:lang w:val="en-US" w:eastAsia="zh-CN"/>
        </w:rPr>
        <w:t>9</w:t>
      </w:r>
      <w:r>
        <w:rPr>
          <w:rFonts w:hint="eastAsia"/>
        </w:rPr>
        <w:t>〕</w:t>
      </w:r>
      <w:r>
        <w:rPr>
          <w:rFonts w:hint="eastAsia"/>
          <w:lang w:val="en-US" w:eastAsia="zh-CN"/>
        </w:rPr>
        <w:t>246</w:t>
      </w:r>
      <w:r>
        <w:rPr>
          <w:rFonts w:hint="eastAsia"/>
        </w:rPr>
        <w:t>号）等文件精神，现将20</w:t>
      </w:r>
      <w:r>
        <w:rPr>
          <w:rFonts w:hint="eastAsia"/>
          <w:lang w:val="en-US" w:eastAsia="zh-CN"/>
        </w:rPr>
        <w:t>20</w:t>
      </w:r>
      <w:r>
        <w:rPr>
          <w:rFonts w:hint="eastAsia"/>
        </w:rPr>
        <w:t>年市本级国有资本经营预算编制情况汇报如下：</w:t>
      </w:r>
    </w:p>
    <w:p>
      <w:pPr>
        <w:topLinePunct/>
        <w:ind w:firstLine="654" w:firstLineChars="200"/>
        <w:rPr>
          <w:rFonts w:ascii="黑体" w:eastAsia="黑体"/>
        </w:rPr>
      </w:pPr>
      <w:r>
        <w:rPr>
          <w:rFonts w:hint="eastAsia" w:ascii="黑体" w:eastAsia="黑体"/>
        </w:rPr>
        <w:t>一、编制原则</w:t>
      </w:r>
    </w:p>
    <w:p>
      <w:pPr>
        <w:topLinePunct/>
        <w:ind w:firstLine="654" w:firstLineChars="200"/>
      </w:pPr>
      <w:r>
        <w:rPr>
          <w:rFonts w:hint="eastAsia"/>
        </w:rPr>
        <w:t>1、统筹兼顾，适度集中。统筹兼顾企业自身积累、自身发展和国有经济结构调整及国民经济宏观调控的需要，适度集中国有资本收益，合理确定预算收支规模。</w:t>
      </w:r>
    </w:p>
    <w:p>
      <w:pPr>
        <w:topLinePunct/>
        <w:ind w:firstLine="654" w:firstLineChars="200"/>
      </w:pPr>
      <w:r>
        <w:rPr>
          <w:rFonts w:hint="eastAsia"/>
        </w:rPr>
        <w:t>2、相对独立，相互衔接。既保持国有资本经营预算的完整性和相对独立性，又保持与政府公共财政预算的相互衔接。</w:t>
      </w:r>
    </w:p>
    <w:p>
      <w:pPr>
        <w:topLinePunct/>
        <w:ind w:firstLine="654" w:firstLineChars="200"/>
      </w:pPr>
      <w:r>
        <w:rPr>
          <w:rFonts w:hint="eastAsia"/>
        </w:rPr>
        <w:t>3、分级编制，逐步实施。国有资本经营预算实行分级管理，分级编制，根据条件逐步实施。</w:t>
      </w:r>
    </w:p>
    <w:p>
      <w:pPr>
        <w:topLinePunct/>
        <w:ind w:firstLine="654" w:firstLineChars="200"/>
      </w:pPr>
      <w:r>
        <w:rPr>
          <w:rFonts w:hint="eastAsia"/>
        </w:rPr>
        <w:t>4、量入为出，收支平衡。国有资本经营预算支出按照当年国有资本经营预算收入规模进行安排不列赤字。</w:t>
      </w:r>
    </w:p>
    <w:p>
      <w:pPr>
        <w:topLinePunct/>
        <w:ind w:firstLine="654" w:firstLineChars="200"/>
        <w:rPr>
          <w:rFonts w:ascii="黑体" w:eastAsia="黑体"/>
        </w:rPr>
      </w:pPr>
      <w:r>
        <w:rPr>
          <w:rFonts w:hint="eastAsia" w:ascii="黑体" w:eastAsia="黑体"/>
        </w:rPr>
        <w:t>二、编制范围</w:t>
      </w:r>
    </w:p>
    <w:p>
      <w:pPr>
        <w:topLinePunct/>
        <w:ind w:firstLine="654" w:firstLineChars="200"/>
      </w:pPr>
      <w:r>
        <w:rPr>
          <w:rFonts w:hint="eastAsia"/>
        </w:rPr>
        <w:t>纳入20</w:t>
      </w:r>
      <w:r>
        <w:rPr>
          <w:rFonts w:hint="eastAsia"/>
          <w:lang w:val="en-US" w:eastAsia="zh-CN"/>
        </w:rPr>
        <w:t>20</w:t>
      </w:r>
      <w:r>
        <w:rPr>
          <w:rFonts w:hint="eastAsia"/>
        </w:rPr>
        <w:t>年市本级国有资本经营预算编制范围的企业为益阳市城市建设投资开发有限责任公司</w:t>
      </w:r>
      <w:r>
        <w:rPr>
          <w:rFonts w:hint="eastAsia"/>
          <w:lang w:eastAsia="zh-CN"/>
        </w:rPr>
        <w:t>、</w:t>
      </w:r>
      <w:r>
        <w:rPr>
          <w:rFonts w:hint="eastAsia"/>
        </w:rPr>
        <w:t>益阳市交通发展投资有限责任公司</w:t>
      </w:r>
      <w:r>
        <w:rPr>
          <w:rFonts w:hint="eastAsia"/>
          <w:lang w:eastAsia="zh-CN"/>
        </w:rPr>
        <w:t>、</w:t>
      </w:r>
      <w:r>
        <w:rPr>
          <w:rFonts w:hint="eastAsia"/>
        </w:rPr>
        <w:t>益阳市两型建设投资有限公司、益阳市银湘国有资产经营有限公司、</w:t>
      </w:r>
      <w:r>
        <w:rPr>
          <w:rFonts w:hint="eastAsia"/>
          <w:lang w:eastAsia="zh-CN"/>
        </w:rPr>
        <w:t>益阳银城大市场房地产开发置业有限公司、</w:t>
      </w:r>
      <w:r>
        <w:rPr>
          <w:rFonts w:hint="eastAsia"/>
        </w:rPr>
        <w:t>益阳市融资担保有限责任公司</w:t>
      </w:r>
      <w:r>
        <w:rPr>
          <w:rFonts w:hint="eastAsia"/>
          <w:lang w:eastAsia="zh-CN"/>
        </w:rPr>
        <w:t>、</w:t>
      </w:r>
      <w:r>
        <w:rPr>
          <w:rFonts w:hint="eastAsia"/>
        </w:rPr>
        <w:t>益阳市行政事业资产经营有限公司、益阳市财源建设投资有限公司、</w:t>
      </w:r>
      <w:bookmarkStart w:id="0" w:name="_GoBack"/>
      <w:bookmarkEnd w:id="0"/>
      <w:r>
        <w:rPr>
          <w:rFonts w:hint="eastAsia"/>
        </w:rPr>
        <w:t>益阳市水务投资开发集团有限公司、共</w:t>
      </w:r>
      <w:r>
        <w:rPr>
          <w:rFonts w:hint="eastAsia"/>
          <w:lang w:val="en-US" w:eastAsia="zh-CN"/>
        </w:rPr>
        <w:t>9</w:t>
      </w:r>
      <w:r>
        <w:rPr>
          <w:rFonts w:hint="eastAsia"/>
        </w:rPr>
        <w:t>家国有独资企业。</w:t>
      </w:r>
    </w:p>
    <w:p>
      <w:pPr>
        <w:topLinePunct/>
        <w:ind w:firstLine="654" w:firstLineChars="200"/>
        <w:rPr>
          <w:rFonts w:ascii="黑体" w:eastAsia="黑体"/>
        </w:rPr>
      </w:pPr>
      <w:r>
        <w:rPr>
          <w:rFonts w:hint="eastAsia" w:ascii="黑体" w:eastAsia="黑体"/>
        </w:rPr>
        <w:t>三、编制企业基本情况</w:t>
      </w:r>
    </w:p>
    <w:p>
      <w:pPr>
        <w:topLinePunct/>
        <w:ind w:firstLine="654" w:firstLineChars="200"/>
        <w:rPr>
          <w:rFonts w:hint="default" w:eastAsia="仿宋_GB2312"/>
          <w:lang w:val="en-US" w:eastAsia="zh-CN"/>
        </w:rPr>
      </w:pPr>
      <w:r>
        <w:rPr>
          <w:rFonts w:hint="eastAsia"/>
        </w:rPr>
        <w:t>根据201</w:t>
      </w:r>
      <w:r>
        <w:rPr>
          <w:rFonts w:hint="eastAsia"/>
          <w:lang w:val="en-US" w:eastAsia="zh-CN"/>
        </w:rPr>
        <w:t>8</w:t>
      </w:r>
      <w:r>
        <w:rPr>
          <w:rFonts w:hint="eastAsia"/>
        </w:rPr>
        <w:t>年企业年度财务报表，纳入20</w:t>
      </w:r>
      <w:r>
        <w:rPr>
          <w:rFonts w:hint="eastAsia"/>
          <w:lang w:val="en-US" w:eastAsia="zh-CN"/>
        </w:rPr>
        <w:t>20</w:t>
      </w:r>
      <w:r>
        <w:rPr>
          <w:rFonts w:hint="eastAsia"/>
        </w:rPr>
        <w:t>年国有资本经营预算编制范围的市本级</w:t>
      </w:r>
      <w:r>
        <w:rPr>
          <w:rFonts w:hint="eastAsia"/>
          <w:lang w:val="en-US" w:eastAsia="zh-CN"/>
        </w:rPr>
        <w:t>9</w:t>
      </w:r>
      <w:r>
        <w:rPr>
          <w:rFonts w:hint="eastAsia"/>
        </w:rPr>
        <w:t>家国有独资企业，年末资产总额</w:t>
      </w:r>
      <w:r>
        <w:rPr>
          <w:rFonts w:hint="eastAsia"/>
          <w:lang w:val="en-US" w:eastAsia="zh-CN"/>
        </w:rPr>
        <w:t>3041953.81</w:t>
      </w:r>
      <w:r>
        <w:rPr>
          <w:rFonts w:hint="eastAsia"/>
        </w:rPr>
        <w:t>万元，负债总额</w:t>
      </w:r>
      <w:r>
        <w:rPr>
          <w:rFonts w:hint="eastAsia"/>
          <w:lang w:val="en-US" w:eastAsia="zh-CN"/>
        </w:rPr>
        <w:t>1832095.87</w:t>
      </w:r>
      <w:r>
        <w:rPr>
          <w:rFonts w:hint="eastAsia"/>
        </w:rPr>
        <w:t>万元，所有者权益</w:t>
      </w:r>
      <w:r>
        <w:rPr>
          <w:rFonts w:hint="eastAsia"/>
          <w:lang w:val="en-US" w:eastAsia="zh-CN"/>
        </w:rPr>
        <w:t>1309746.55</w:t>
      </w:r>
      <w:r>
        <w:rPr>
          <w:rFonts w:hint="eastAsia"/>
        </w:rPr>
        <w:t>万元，</w:t>
      </w:r>
      <w:r>
        <w:rPr>
          <w:rFonts w:hint="eastAsia"/>
          <w:lang w:val="en-US" w:eastAsia="zh-CN"/>
        </w:rPr>
        <w:t>6家有</w:t>
      </w:r>
      <w:r>
        <w:rPr>
          <w:rFonts w:hint="eastAsia"/>
        </w:rPr>
        <w:t>利润</w:t>
      </w:r>
      <w:r>
        <w:rPr>
          <w:rFonts w:hint="eastAsia"/>
          <w:lang w:eastAsia="zh-CN"/>
        </w:rPr>
        <w:t>的企业利润</w:t>
      </w:r>
      <w:r>
        <w:rPr>
          <w:rFonts w:hint="eastAsia"/>
        </w:rPr>
        <w:t>总额</w:t>
      </w:r>
      <w:r>
        <w:rPr>
          <w:rFonts w:hint="eastAsia"/>
          <w:lang w:val="en-US" w:eastAsia="zh-CN"/>
        </w:rPr>
        <w:t>3427.17</w:t>
      </w:r>
      <w:r>
        <w:rPr>
          <w:rFonts w:hint="eastAsia"/>
        </w:rPr>
        <w:t>万元，净利润</w:t>
      </w:r>
      <w:r>
        <w:rPr>
          <w:rFonts w:hint="eastAsia"/>
          <w:lang w:val="en-US" w:eastAsia="zh-CN"/>
        </w:rPr>
        <w:t>3427.17</w:t>
      </w:r>
      <w:r>
        <w:rPr>
          <w:rFonts w:hint="eastAsia"/>
        </w:rPr>
        <w:t>万元</w:t>
      </w:r>
      <w:r>
        <w:rPr>
          <w:rFonts w:hint="eastAsia"/>
          <w:lang w:eastAsia="zh-CN"/>
        </w:rPr>
        <w:t>；</w:t>
      </w:r>
      <w:r>
        <w:rPr>
          <w:rFonts w:hint="eastAsia"/>
          <w:lang w:val="en-US" w:eastAsia="zh-CN"/>
        </w:rPr>
        <w:t>3家亏损企业亏损总额1099.42万元。</w:t>
      </w:r>
    </w:p>
    <w:p>
      <w:pPr>
        <w:topLinePunct/>
        <w:ind w:firstLine="654" w:firstLineChars="200"/>
        <w:rPr>
          <w:rFonts w:ascii="黑体" w:eastAsia="黑体"/>
        </w:rPr>
      </w:pPr>
      <w:r>
        <w:rPr>
          <w:rFonts w:hint="eastAsia" w:ascii="黑体" w:eastAsia="黑体"/>
        </w:rPr>
        <w:t>四、预算编制情况</w:t>
      </w:r>
    </w:p>
    <w:p>
      <w:pPr>
        <w:topLinePunct/>
        <w:ind w:firstLine="654" w:firstLineChars="200"/>
      </w:pPr>
      <w:r>
        <w:rPr>
          <w:rFonts w:hint="eastAsia"/>
        </w:rPr>
        <w:t>1、收入预算的编制方法。20</w:t>
      </w:r>
      <w:r>
        <w:rPr>
          <w:rFonts w:hint="eastAsia"/>
          <w:lang w:val="en-US" w:eastAsia="zh-CN"/>
        </w:rPr>
        <w:t>20</w:t>
      </w:r>
      <w:r>
        <w:rPr>
          <w:rFonts w:hint="eastAsia"/>
        </w:rPr>
        <w:t>年国有独资企业按益财企〔2018〕225号文件规定,</w:t>
      </w:r>
      <w:r>
        <w:rPr>
          <w:rFonts w:hint="eastAsia"/>
          <w:lang w:val="en-US" w:eastAsia="zh-CN"/>
        </w:rPr>
        <w:t>6</w:t>
      </w:r>
      <w:r>
        <w:rPr>
          <w:rFonts w:hint="eastAsia"/>
        </w:rPr>
        <w:t>户</w:t>
      </w:r>
      <w:r>
        <w:rPr>
          <w:rFonts w:hint="eastAsia"/>
          <w:lang w:eastAsia="zh-CN"/>
        </w:rPr>
        <w:t>盈利</w:t>
      </w:r>
      <w:r>
        <w:rPr>
          <w:rFonts w:hint="eastAsia"/>
        </w:rPr>
        <w:t>企业均按</w:t>
      </w:r>
      <w:r>
        <w:rPr>
          <w:rFonts w:hint="eastAsia"/>
          <w:lang w:val="en-US" w:eastAsia="zh-CN"/>
        </w:rPr>
        <w:t>30</w:t>
      </w:r>
      <w:r>
        <w:rPr>
          <w:rFonts w:hint="eastAsia"/>
        </w:rPr>
        <w:t>%比例上交利润，根据201</w:t>
      </w:r>
      <w:r>
        <w:rPr>
          <w:rFonts w:hint="eastAsia"/>
          <w:lang w:val="en-US" w:eastAsia="zh-CN"/>
        </w:rPr>
        <w:t>8</w:t>
      </w:r>
      <w:r>
        <w:rPr>
          <w:rFonts w:hint="eastAsia"/>
        </w:rPr>
        <w:t>年</w:t>
      </w:r>
      <w:r>
        <w:rPr>
          <w:rFonts w:hint="eastAsia"/>
          <w:lang w:val="en-US" w:eastAsia="zh-CN"/>
        </w:rPr>
        <w:t>6</w:t>
      </w:r>
      <w:r>
        <w:rPr>
          <w:rFonts w:hint="eastAsia"/>
        </w:rPr>
        <w:t>户</w:t>
      </w:r>
      <w:r>
        <w:rPr>
          <w:rFonts w:hint="eastAsia"/>
          <w:lang w:eastAsia="zh-CN"/>
        </w:rPr>
        <w:t>盈利</w:t>
      </w:r>
      <w:r>
        <w:rPr>
          <w:rFonts w:hint="eastAsia"/>
        </w:rPr>
        <w:t>企业实现净利润</w:t>
      </w:r>
      <w:r>
        <w:rPr>
          <w:rFonts w:hint="eastAsia"/>
          <w:lang w:val="en-US" w:eastAsia="zh-CN"/>
        </w:rPr>
        <w:t>3427.17</w:t>
      </w:r>
      <w:r>
        <w:rPr>
          <w:rFonts w:hint="eastAsia"/>
        </w:rPr>
        <w:t>万元测算可收取国有资本经营预算收入</w:t>
      </w:r>
      <w:r>
        <w:rPr>
          <w:rFonts w:hint="eastAsia"/>
          <w:lang w:val="en-US" w:eastAsia="zh-CN"/>
        </w:rPr>
        <w:t>1028.15</w:t>
      </w:r>
      <w:r>
        <w:rPr>
          <w:rFonts w:hint="eastAsia"/>
        </w:rPr>
        <w:t>万元。其中：市城市建设投资开发有限责任公司上交利润</w:t>
      </w:r>
      <w:r>
        <w:rPr>
          <w:rFonts w:hint="eastAsia"/>
          <w:lang w:val="en-US" w:eastAsia="zh-CN"/>
        </w:rPr>
        <w:t>438.15</w:t>
      </w:r>
      <w:r>
        <w:rPr>
          <w:rFonts w:hint="eastAsia"/>
        </w:rPr>
        <w:t>万元、市交通发展投资有限责任公司上交利润</w:t>
      </w:r>
      <w:r>
        <w:rPr>
          <w:rFonts w:hint="eastAsia"/>
          <w:lang w:val="en-US" w:eastAsia="zh-CN"/>
        </w:rPr>
        <w:t>235.7</w:t>
      </w:r>
      <w:r>
        <w:rPr>
          <w:rFonts w:hint="eastAsia"/>
        </w:rPr>
        <w:t>万元、市两型建设投资有限公司</w:t>
      </w:r>
      <w:r>
        <w:rPr>
          <w:rFonts w:hint="eastAsia"/>
          <w:lang w:eastAsia="zh-CN"/>
        </w:rPr>
        <w:t>上缴利润</w:t>
      </w:r>
      <w:r>
        <w:rPr>
          <w:rFonts w:hint="eastAsia"/>
          <w:lang w:val="en-US" w:eastAsia="zh-CN"/>
        </w:rPr>
        <w:t>294.21万元</w:t>
      </w:r>
      <w:r>
        <w:rPr>
          <w:rFonts w:hint="eastAsia"/>
        </w:rPr>
        <w:t>，市银湘国有资产经营有限公司上交利润</w:t>
      </w:r>
      <w:r>
        <w:rPr>
          <w:rFonts w:hint="eastAsia"/>
          <w:lang w:val="en-US" w:eastAsia="zh-CN"/>
        </w:rPr>
        <w:t>45</w:t>
      </w:r>
      <w:r>
        <w:rPr>
          <w:rFonts w:hint="eastAsia"/>
        </w:rPr>
        <w:t>万元、</w:t>
      </w:r>
      <w:r>
        <w:rPr>
          <w:rFonts w:hint="eastAsia"/>
          <w:lang w:eastAsia="zh-CN"/>
        </w:rPr>
        <w:t>市银城大市场房地产开发置业有限公司上缴利润</w:t>
      </w:r>
      <w:r>
        <w:rPr>
          <w:rFonts w:hint="eastAsia"/>
          <w:lang w:val="en-US" w:eastAsia="zh-CN"/>
        </w:rPr>
        <w:t>12万元、</w:t>
      </w:r>
      <w:r>
        <w:rPr>
          <w:rFonts w:hint="eastAsia"/>
        </w:rPr>
        <w:t>市融资担保有限责任公司</w:t>
      </w:r>
      <w:r>
        <w:rPr>
          <w:rFonts w:hint="eastAsia"/>
          <w:lang w:eastAsia="zh-CN"/>
        </w:rPr>
        <w:t>上缴利润</w:t>
      </w:r>
      <w:r>
        <w:rPr>
          <w:rFonts w:hint="eastAsia"/>
          <w:lang w:val="en-US" w:eastAsia="zh-CN"/>
        </w:rPr>
        <w:t>3.09万元</w:t>
      </w:r>
      <w:r>
        <w:rPr>
          <w:rFonts w:hint="eastAsia"/>
        </w:rPr>
        <w:t>、市行政事业资产投资经营有限公司、市水务投资开发集团有限公司、市财源建设投资有限公司无利润上交。20</w:t>
      </w:r>
      <w:r>
        <w:rPr>
          <w:rFonts w:hint="eastAsia"/>
          <w:lang w:val="en-US" w:eastAsia="zh-CN"/>
        </w:rPr>
        <w:t>20</w:t>
      </w:r>
      <w:r>
        <w:rPr>
          <w:rFonts w:hint="eastAsia"/>
        </w:rPr>
        <w:t>年国有企业资本经营预算收入比201</w:t>
      </w:r>
      <w:r>
        <w:rPr>
          <w:rFonts w:hint="eastAsia"/>
          <w:lang w:val="en-US" w:eastAsia="zh-CN"/>
        </w:rPr>
        <w:t>9</w:t>
      </w:r>
      <w:r>
        <w:rPr>
          <w:rFonts w:hint="eastAsia"/>
        </w:rPr>
        <w:t>年国有资本经营预算收入减少</w:t>
      </w:r>
      <w:r>
        <w:rPr>
          <w:rFonts w:hint="eastAsia"/>
          <w:lang w:val="en-US" w:eastAsia="zh-CN"/>
        </w:rPr>
        <w:t>57.39</w:t>
      </w:r>
      <w:r>
        <w:rPr>
          <w:rFonts w:hint="eastAsia"/>
        </w:rPr>
        <w:t>万元，主要是</w:t>
      </w:r>
      <w:r>
        <w:rPr>
          <w:rFonts w:hint="eastAsia"/>
          <w:lang w:eastAsia="zh-CN"/>
        </w:rPr>
        <w:t>城建投和交发投</w:t>
      </w:r>
      <w:r>
        <w:rPr>
          <w:rFonts w:hint="eastAsia"/>
        </w:rPr>
        <w:t>实现净利润比上年减少</w:t>
      </w:r>
      <w:r>
        <w:rPr>
          <w:rFonts w:hint="eastAsia"/>
          <w:lang w:val="en-US" w:eastAsia="zh-CN"/>
        </w:rPr>
        <w:t>1288.96</w:t>
      </w:r>
      <w:r>
        <w:rPr>
          <w:rFonts w:hint="eastAsia"/>
        </w:rPr>
        <w:t>万元，比上年减少上缴国有资本经营收入</w:t>
      </w:r>
      <w:r>
        <w:rPr>
          <w:rFonts w:hint="eastAsia"/>
          <w:lang w:val="en-US" w:eastAsia="zh-CN"/>
        </w:rPr>
        <w:t>386.69</w:t>
      </w:r>
      <w:r>
        <w:rPr>
          <w:rFonts w:hint="eastAsia"/>
        </w:rPr>
        <w:t>万元。</w:t>
      </w:r>
    </w:p>
    <w:p>
      <w:pPr>
        <w:topLinePunct/>
        <w:ind w:firstLine="654" w:firstLineChars="200"/>
      </w:pPr>
      <w:r>
        <w:rPr>
          <w:rFonts w:hint="eastAsia"/>
        </w:rPr>
        <w:t>2、支出预算的编制情况。根据《益阳市财政局关于编报20</w:t>
      </w:r>
      <w:r>
        <w:rPr>
          <w:rFonts w:hint="eastAsia"/>
          <w:lang w:val="en-US" w:eastAsia="zh-CN"/>
        </w:rPr>
        <w:t>20</w:t>
      </w:r>
      <w:r>
        <w:rPr>
          <w:rFonts w:hint="eastAsia"/>
        </w:rPr>
        <w:t>年度市级国有资本经营预算有关事项的通知》（益财企[201</w:t>
      </w:r>
      <w:r>
        <w:rPr>
          <w:rFonts w:hint="eastAsia"/>
          <w:lang w:val="en-US" w:eastAsia="zh-CN"/>
        </w:rPr>
        <w:t>9</w:t>
      </w:r>
      <w:r>
        <w:rPr>
          <w:rFonts w:hint="eastAsia"/>
        </w:rPr>
        <w:t>]2</w:t>
      </w:r>
      <w:r>
        <w:rPr>
          <w:rFonts w:hint="eastAsia"/>
          <w:lang w:val="en-US" w:eastAsia="zh-CN"/>
        </w:rPr>
        <w:t>46</w:t>
      </w:r>
      <w:r>
        <w:rPr>
          <w:rFonts w:hint="eastAsia"/>
        </w:rPr>
        <w:t>号),20</w:t>
      </w:r>
      <w:r>
        <w:rPr>
          <w:rFonts w:hint="eastAsia"/>
          <w:lang w:val="en-US" w:eastAsia="zh-CN"/>
        </w:rPr>
        <w:t>20</w:t>
      </w:r>
      <w:r>
        <w:rPr>
          <w:rFonts w:hint="eastAsia"/>
        </w:rPr>
        <w:t>年国有资本经营预算收入按</w:t>
      </w:r>
      <w:r>
        <w:rPr>
          <w:rFonts w:hint="eastAsia"/>
          <w:lang w:val="en-US" w:eastAsia="zh-CN"/>
        </w:rPr>
        <w:t>30</w:t>
      </w:r>
      <w:r>
        <w:rPr>
          <w:rFonts w:hint="eastAsia"/>
        </w:rPr>
        <w:t>%的比例上缴一般公共预算,余下部分按企业申报项目编制支出预算,主要用于扶持有上交国有资本经营预算收入的企业,支持还本付息。具体情况：上缴一般公共预算为</w:t>
      </w:r>
      <w:r>
        <w:rPr>
          <w:rFonts w:hint="eastAsia"/>
          <w:lang w:val="en-US" w:eastAsia="zh-CN"/>
        </w:rPr>
        <w:t>308.45</w:t>
      </w:r>
      <w:r>
        <w:rPr>
          <w:rFonts w:hint="eastAsia"/>
        </w:rPr>
        <w:t>万元，安排还本付息支出</w:t>
      </w:r>
      <w:r>
        <w:rPr>
          <w:rFonts w:hint="eastAsia"/>
          <w:lang w:val="en-US" w:eastAsia="zh-CN"/>
        </w:rPr>
        <w:t>719.7</w:t>
      </w:r>
      <w:r>
        <w:rPr>
          <w:rFonts w:hint="eastAsia"/>
        </w:rPr>
        <w:t>万元，其中市城市建设投资开发有限责任公司上缴一般公共预算支出</w:t>
      </w:r>
      <w:r>
        <w:rPr>
          <w:rFonts w:hint="eastAsia"/>
          <w:lang w:val="en-US" w:eastAsia="zh-CN"/>
        </w:rPr>
        <w:t>131.45</w:t>
      </w:r>
      <w:r>
        <w:rPr>
          <w:rFonts w:hint="eastAsia"/>
        </w:rPr>
        <w:t>万元，安排还本付息支出</w:t>
      </w:r>
      <w:r>
        <w:rPr>
          <w:rFonts w:hint="eastAsia"/>
          <w:lang w:val="en-US" w:eastAsia="zh-CN"/>
        </w:rPr>
        <w:t>306.7</w:t>
      </w:r>
      <w:r>
        <w:rPr>
          <w:rFonts w:hint="eastAsia"/>
        </w:rPr>
        <w:t>万元；市交通发展投资有限责任公司上缴一般公共预算支出</w:t>
      </w:r>
      <w:r>
        <w:rPr>
          <w:rFonts w:hint="eastAsia"/>
          <w:lang w:val="en-US" w:eastAsia="zh-CN"/>
        </w:rPr>
        <w:t>70.71</w:t>
      </w:r>
      <w:r>
        <w:rPr>
          <w:rFonts w:hint="eastAsia"/>
        </w:rPr>
        <w:t>万元，安排还本付息支出</w:t>
      </w:r>
      <w:r>
        <w:rPr>
          <w:rFonts w:hint="eastAsia"/>
          <w:lang w:val="en-US" w:eastAsia="zh-CN"/>
        </w:rPr>
        <w:t>164.99</w:t>
      </w:r>
      <w:r>
        <w:rPr>
          <w:rFonts w:hint="eastAsia"/>
        </w:rPr>
        <w:t>万元；</w:t>
      </w:r>
      <w:r>
        <w:rPr>
          <w:rFonts w:hint="eastAsia"/>
          <w:lang w:eastAsia="zh-CN"/>
        </w:rPr>
        <w:t>市两型建设投资有限公司上缴一般公共预算支出</w:t>
      </w:r>
      <w:r>
        <w:rPr>
          <w:rFonts w:hint="eastAsia"/>
          <w:lang w:val="en-US" w:eastAsia="zh-CN"/>
        </w:rPr>
        <w:t>88.26万元，安排还本付息支出205.95万元；</w:t>
      </w:r>
      <w:r>
        <w:rPr>
          <w:rFonts w:hint="eastAsia"/>
        </w:rPr>
        <w:t>市银湘国有资产经营有限公司</w:t>
      </w:r>
      <w:r>
        <w:rPr>
          <w:rFonts w:hint="eastAsia"/>
          <w:lang w:eastAsia="zh-CN"/>
        </w:rPr>
        <w:t>、市银城大市场房地产开发置业有限公司、市融资担保有限责任公司三家</w:t>
      </w:r>
      <w:r>
        <w:rPr>
          <w:rFonts w:hint="eastAsia"/>
        </w:rPr>
        <w:t>安排还本付息支出</w:t>
      </w:r>
      <w:r>
        <w:rPr>
          <w:rFonts w:hint="eastAsia"/>
          <w:lang w:val="en-US" w:eastAsia="zh-CN"/>
        </w:rPr>
        <w:t>42.06</w:t>
      </w:r>
      <w:r>
        <w:rPr>
          <w:rFonts w:hint="eastAsia"/>
        </w:rPr>
        <w:t>万元。</w:t>
      </w:r>
    </w:p>
    <w:p>
      <w:pPr>
        <w:topLinePunct/>
        <w:ind w:firstLine="654" w:firstLineChars="200"/>
      </w:pPr>
    </w:p>
    <w:sectPr>
      <w:footerReference r:id="rId3" w:type="default"/>
      <w:footerReference r:id="rId4" w:type="even"/>
      <w:pgSz w:w="16840" w:h="11907" w:orient="landscape"/>
      <w:pgMar w:top="1531" w:right="1871" w:bottom="1531" w:left="2041" w:header="851" w:footer="1191" w:gutter="0"/>
      <w:cols w:space="720" w:num="1"/>
      <w:docGrid w:type="linesAndChars" w:linePitch="587"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Times New Roman"/>
        <w:sz w:val="21"/>
      </w:rPr>
    </w:pPr>
    <w:r>
      <w:rPr>
        <w:rFonts w:ascii="Times New Roman"/>
        <w:sz w:val="21"/>
      </w:rPr>
      <w:fldChar w:fldCharType="begin"/>
    </w:r>
    <w:r>
      <w:rPr>
        <w:rStyle w:val="7"/>
        <w:rFonts w:ascii="Times New Roman"/>
        <w:sz w:val="21"/>
      </w:rPr>
      <w:instrText xml:space="preserve">PAGE  </w:instrText>
    </w:r>
    <w:r>
      <w:rPr>
        <w:rFonts w:ascii="Times New Roman"/>
        <w:sz w:val="21"/>
      </w:rPr>
      <w:fldChar w:fldCharType="separate"/>
    </w:r>
    <w:r>
      <w:rPr>
        <w:rStyle w:val="7"/>
        <w:rFonts w:ascii="Times New Roman"/>
        <w:sz w:val="21"/>
      </w:rPr>
      <w:t>1</w:t>
    </w:r>
    <w:r>
      <w:rPr>
        <w:rFonts w:ascii="Times New Roman"/>
        <w:sz w:val="21"/>
      </w:rPr>
      <w:fldChar w:fldCharType="end"/>
    </w:r>
  </w:p>
  <w:p>
    <w:pPr>
      <w:pStyle w:val="2"/>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8" w:right="320" w:rightChars="100"/>
      <w:jc w:val="right"/>
      <w:rPr>
        <w:rStyle w:val="7"/>
        <w:rFonts w:ascii="Times New Roman"/>
        <w:sz w:val="28"/>
      </w:rPr>
    </w:pPr>
    <w:r>
      <w:rPr>
        <w:rStyle w:val="7"/>
        <w:rFonts w:hint="eastAsia" w:ascii="Times New Roman"/>
        <w:sz w:val="28"/>
      </w:rPr>
      <w:t>—</w:t>
    </w:r>
    <w:r>
      <w:rPr>
        <w:rFonts w:ascii="Times New Roman"/>
        <w:sz w:val="28"/>
      </w:rPr>
      <w:fldChar w:fldCharType="begin"/>
    </w:r>
    <w:r>
      <w:rPr>
        <w:rStyle w:val="7"/>
        <w:rFonts w:ascii="Times New Roman"/>
        <w:sz w:val="28"/>
      </w:rPr>
      <w:instrText xml:space="preserve">PAGE  </w:instrText>
    </w:r>
    <w:r>
      <w:rPr>
        <w:rFonts w:ascii="Times New Roman"/>
        <w:sz w:val="28"/>
      </w:rPr>
      <w:fldChar w:fldCharType="separate"/>
    </w:r>
    <w:r>
      <w:rPr>
        <w:rStyle w:val="7"/>
        <w:rFonts w:ascii="Times New Roman"/>
        <w:sz w:val="28"/>
      </w:rPr>
      <w:t>2</w:t>
    </w:r>
    <w:r>
      <w:rPr>
        <w:rFonts w:ascii="Times New Roman"/>
        <w:sz w:val="28"/>
      </w:rPr>
      <w:fldChar w:fldCharType="end"/>
    </w:r>
    <w:r>
      <w:rPr>
        <w:rStyle w:val="7"/>
        <w:rFonts w:hint="eastAsia" w:ascii="Times New Roman"/>
        <w:sz w:val="28"/>
      </w:rPr>
      <w:t>—</w:t>
    </w:r>
  </w:p>
  <w:p>
    <w:pPr>
      <w:pStyle w:val="2"/>
      <w:ind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164"/>
  <w:drawingGridVerticalSpacing w:val="587"/>
  <w:displayHorizont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79"/>
    <w:rsid w:val="00065298"/>
    <w:rsid w:val="000770DA"/>
    <w:rsid w:val="000959D5"/>
    <w:rsid w:val="000C0E61"/>
    <w:rsid w:val="000E4218"/>
    <w:rsid w:val="000F559B"/>
    <w:rsid w:val="001C4071"/>
    <w:rsid w:val="00234B45"/>
    <w:rsid w:val="0023659A"/>
    <w:rsid w:val="002F240D"/>
    <w:rsid w:val="0030386A"/>
    <w:rsid w:val="00322ED7"/>
    <w:rsid w:val="003343D6"/>
    <w:rsid w:val="00373487"/>
    <w:rsid w:val="0037669B"/>
    <w:rsid w:val="003E202E"/>
    <w:rsid w:val="00434575"/>
    <w:rsid w:val="00485545"/>
    <w:rsid w:val="00592934"/>
    <w:rsid w:val="0069380A"/>
    <w:rsid w:val="006A49A8"/>
    <w:rsid w:val="006E52AA"/>
    <w:rsid w:val="00777599"/>
    <w:rsid w:val="00815160"/>
    <w:rsid w:val="00826297"/>
    <w:rsid w:val="008B41E5"/>
    <w:rsid w:val="008C101B"/>
    <w:rsid w:val="009642DA"/>
    <w:rsid w:val="00964743"/>
    <w:rsid w:val="00975A54"/>
    <w:rsid w:val="009F2179"/>
    <w:rsid w:val="009F4A0C"/>
    <w:rsid w:val="00A12EE4"/>
    <w:rsid w:val="00A3184A"/>
    <w:rsid w:val="00A426F6"/>
    <w:rsid w:val="00A84286"/>
    <w:rsid w:val="00AF797A"/>
    <w:rsid w:val="00B80523"/>
    <w:rsid w:val="00BF30DF"/>
    <w:rsid w:val="00C13496"/>
    <w:rsid w:val="00CB176B"/>
    <w:rsid w:val="00CC261B"/>
    <w:rsid w:val="00CC4FE1"/>
    <w:rsid w:val="00CD5CC3"/>
    <w:rsid w:val="00D55372"/>
    <w:rsid w:val="00E00088"/>
    <w:rsid w:val="00E36AA7"/>
    <w:rsid w:val="00E420E0"/>
    <w:rsid w:val="00E850E8"/>
    <w:rsid w:val="00F20EE6"/>
    <w:rsid w:val="00F3506C"/>
    <w:rsid w:val="00F4417A"/>
    <w:rsid w:val="00F62571"/>
    <w:rsid w:val="00F630DF"/>
    <w:rsid w:val="00F85058"/>
    <w:rsid w:val="00FF0287"/>
    <w:rsid w:val="08801C3D"/>
    <w:rsid w:val="0B961002"/>
    <w:rsid w:val="0DFC11C6"/>
    <w:rsid w:val="14A14ABC"/>
    <w:rsid w:val="156A3F53"/>
    <w:rsid w:val="1691134D"/>
    <w:rsid w:val="17787FB4"/>
    <w:rsid w:val="29793908"/>
    <w:rsid w:val="370305E7"/>
    <w:rsid w:val="3D215301"/>
    <w:rsid w:val="3E3B72A0"/>
    <w:rsid w:val="44F75A38"/>
    <w:rsid w:val="45C77A38"/>
    <w:rsid w:val="48043BB1"/>
    <w:rsid w:val="4AD44C2F"/>
    <w:rsid w:val="4C267C66"/>
    <w:rsid w:val="4C48693A"/>
    <w:rsid w:val="4F0D322F"/>
    <w:rsid w:val="518A6781"/>
    <w:rsid w:val="53696E61"/>
    <w:rsid w:val="56172CD0"/>
    <w:rsid w:val="5AE92733"/>
    <w:rsid w:val="5E2758FB"/>
    <w:rsid w:val="5EF506F7"/>
    <w:rsid w:val="61944C05"/>
    <w:rsid w:val="622D676F"/>
    <w:rsid w:val="645A452C"/>
    <w:rsid w:val="68516181"/>
    <w:rsid w:val="6A0C5950"/>
    <w:rsid w:val="6CD71B82"/>
    <w:rsid w:val="71AB1582"/>
    <w:rsid w:val="74D0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Body Text Indent 3"/>
    <w:basedOn w:val="1"/>
    <w:qFormat/>
    <w:uiPriority w:val="0"/>
    <w:pPr>
      <w:ind w:firstLine="617" w:firstLineChars="200"/>
    </w:pPr>
    <w:rPr>
      <w:rFonts w:ascii="黑体" w:eastAsia="黑体"/>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32440;&#26448;&#26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A4纸材料</Template>
  <Company>家用电脑</Company>
  <Pages>3</Pages>
  <Words>208</Words>
  <Characters>1187</Characters>
  <Lines>9</Lines>
  <Paragraphs>2</Paragraphs>
  <TotalTime>0</TotalTime>
  <ScaleCrop>false</ScaleCrop>
  <LinksUpToDate>false</LinksUpToDate>
  <CharactersWithSpaces>1393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2018-10-30T02:26:00Z</dcterms:created>
  <dc:creator>y</dc:creator>
  <cp:lastModifiedBy>Administrator</cp:lastModifiedBy>
  <cp:lastPrinted>2015-10-27T07:34:00Z</cp:lastPrinted>
  <dcterms:modified xsi:type="dcterms:W3CDTF">2019-11-21T03:36:05Z</dcterms:modified>
  <dc:title>2002年第一季度财政经济形势分析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