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简体" w:hAnsi="方正小标宋_GBK" w:eastAsia="方正小标宋简体" w:cs="方正小标宋_GBK"/>
          <w:sz w:val="44"/>
        </w:rPr>
      </w:pPr>
      <w:r>
        <w:rPr>
          <w:rFonts w:hint="eastAsia" w:ascii="方正小标宋简体" w:hAnsi="宋体" w:eastAsia="方正小标宋简体" w:cs="宋体"/>
          <w:sz w:val="44"/>
        </w:rPr>
        <w:t xml:space="preserve">目 </w:t>
      </w:r>
      <w:r>
        <w:rPr>
          <w:rFonts w:hint="eastAsia" w:ascii="方正小标宋简体" w:hAnsi="方正小标宋_GBK" w:eastAsia="方正小标宋简体" w:cs="方正小标宋_GBK"/>
          <w:sz w:val="44"/>
        </w:rPr>
        <w:t xml:space="preserve">  </w:t>
      </w:r>
      <w:r>
        <w:rPr>
          <w:rFonts w:hint="eastAsia" w:ascii="方正小标宋简体" w:hAnsi="宋体" w:eastAsia="方正小标宋简体" w:cs="宋体"/>
          <w:sz w:val="44"/>
        </w:rPr>
        <w:t>录</w:t>
      </w:r>
    </w:p>
    <w:p>
      <w:pPr>
        <w:ind w:firstLine="3200"/>
        <w:rPr>
          <w:rFonts w:ascii="仿宋" w:hAnsi="仿宋" w:eastAsia="仿宋" w:cs="仿宋"/>
          <w:sz w:val="32"/>
        </w:rPr>
      </w:pPr>
    </w:p>
    <w:p>
      <w:pPr>
        <w:rPr>
          <w:rFonts w:ascii="黑体" w:hAnsi="黑体" w:eastAsia="黑体" w:cs="黑体"/>
          <w:sz w:val="32"/>
        </w:rPr>
      </w:pPr>
      <w:r>
        <w:rPr>
          <w:rFonts w:ascii="黑体" w:hAnsi="黑体" w:eastAsia="黑体" w:cs="黑体"/>
          <w:sz w:val="32"/>
        </w:rPr>
        <w:t xml:space="preserve">第一部分 </w:t>
      </w:r>
      <w:r>
        <w:rPr>
          <w:rFonts w:hint="eastAsia" w:ascii="黑体" w:hAnsi="黑体" w:eastAsia="黑体" w:cs="黑体"/>
          <w:sz w:val="32"/>
        </w:rPr>
        <w:t>益阳市城市管理行政执法局</w:t>
      </w:r>
      <w:r>
        <w:rPr>
          <w:rFonts w:ascii="黑体" w:hAnsi="黑体" w:eastAsia="黑体" w:cs="黑体"/>
          <w:sz w:val="32"/>
        </w:rPr>
        <w:t xml:space="preserve">概况 </w:t>
      </w:r>
    </w:p>
    <w:p>
      <w:pPr>
        <w:rPr>
          <w:rFonts w:ascii="楷体" w:hAnsi="楷体" w:eastAsia="楷体" w:cs="楷体"/>
          <w:sz w:val="32"/>
        </w:rPr>
      </w:pPr>
      <w:r>
        <w:rPr>
          <w:rFonts w:ascii="楷体" w:hAnsi="楷体" w:eastAsia="楷体" w:cs="楷体"/>
          <w:sz w:val="32"/>
        </w:rPr>
        <w:t xml:space="preserve">一、主要职能 </w:t>
      </w:r>
    </w:p>
    <w:p>
      <w:pPr>
        <w:rPr>
          <w:rFonts w:ascii="楷体" w:hAnsi="楷体" w:eastAsia="楷体" w:cs="楷体"/>
          <w:sz w:val="32"/>
        </w:rPr>
      </w:pPr>
      <w:r>
        <w:rPr>
          <w:rFonts w:ascii="楷体" w:hAnsi="楷体" w:eastAsia="楷体" w:cs="楷体"/>
          <w:sz w:val="32"/>
        </w:rPr>
        <w:t>二、机构设置</w:t>
      </w:r>
    </w:p>
    <w:p>
      <w:pPr>
        <w:rPr>
          <w:rFonts w:ascii="楷体" w:hAnsi="楷体" w:eastAsia="楷体" w:cs="楷体"/>
          <w:sz w:val="32"/>
        </w:rPr>
      </w:pPr>
      <w:r>
        <w:rPr>
          <w:rFonts w:ascii="楷体" w:hAnsi="楷体" w:eastAsia="楷体" w:cs="楷体"/>
          <w:sz w:val="32"/>
        </w:rPr>
        <w:t xml:space="preserve">三、部门决算单位构成 </w:t>
      </w:r>
    </w:p>
    <w:p>
      <w:pPr>
        <w:rPr>
          <w:rFonts w:ascii="楷体" w:hAnsi="楷体" w:eastAsia="楷体" w:cs="楷体"/>
          <w:sz w:val="32"/>
        </w:rPr>
      </w:pPr>
    </w:p>
    <w:p>
      <w:pPr>
        <w:rPr>
          <w:rFonts w:ascii="黑体" w:hAnsi="黑体" w:eastAsia="黑体" w:cs="黑体"/>
          <w:sz w:val="32"/>
        </w:rPr>
      </w:pPr>
      <w:r>
        <w:rPr>
          <w:rFonts w:ascii="黑体" w:hAnsi="黑体" w:eastAsia="黑体" w:cs="黑体"/>
          <w:sz w:val="32"/>
        </w:rPr>
        <w:t>第二部分</w:t>
      </w:r>
      <w:r>
        <w:rPr>
          <w:rFonts w:hint="eastAsia" w:ascii="黑体" w:hAnsi="黑体" w:eastAsia="黑体" w:cs="黑体"/>
          <w:sz w:val="32"/>
        </w:rPr>
        <w:t xml:space="preserve"> 益阳市城市管理行政执法局</w:t>
      </w:r>
      <w:r>
        <w:rPr>
          <w:rFonts w:ascii="黑体" w:hAnsi="黑体" w:eastAsia="黑体" w:cs="黑体"/>
          <w:sz w:val="32"/>
        </w:rPr>
        <w:t>201</w:t>
      </w:r>
      <w:r>
        <w:rPr>
          <w:rFonts w:hint="eastAsia" w:ascii="黑体" w:hAnsi="黑体" w:eastAsia="黑体" w:cs="黑体"/>
          <w:sz w:val="32"/>
        </w:rPr>
        <w:t>8</w:t>
      </w:r>
      <w:r>
        <w:rPr>
          <w:rFonts w:ascii="黑体" w:hAnsi="黑体" w:eastAsia="黑体" w:cs="黑体"/>
          <w:sz w:val="32"/>
        </w:rPr>
        <w:t xml:space="preserve"> 年度部门决算表 </w:t>
      </w:r>
    </w:p>
    <w:p>
      <w:pPr>
        <w:rPr>
          <w:rFonts w:ascii="楷体" w:hAnsi="楷体" w:eastAsia="楷体" w:cs="楷体"/>
          <w:sz w:val="32"/>
        </w:rPr>
      </w:pPr>
      <w:r>
        <w:rPr>
          <w:rFonts w:ascii="楷体" w:hAnsi="楷体" w:eastAsia="楷体" w:cs="楷体"/>
          <w:sz w:val="32"/>
        </w:rPr>
        <w:t xml:space="preserve">一、收入支出决算总表 </w:t>
      </w:r>
    </w:p>
    <w:p>
      <w:pPr>
        <w:rPr>
          <w:rFonts w:ascii="楷体" w:hAnsi="楷体" w:eastAsia="楷体" w:cs="楷体"/>
          <w:sz w:val="32"/>
        </w:rPr>
      </w:pPr>
      <w:r>
        <w:rPr>
          <w:rFonts w:ascii="楷体" w:hAnsi="楷体" w:eastAsia="楷体" w:cs="楷体"/>
          <w:sz w:val="32"/>
        </w:rPr>
        <w:t xml:space="preserve">二、收入决算表 </w:t>
      </w:r>
    </w:p>
    <w:p>
      <w:pPr>
        <w:rPr>
          <w:rFonts w:ascii="楷体" w:hAnsi="楷体" w:eastAsia="楷体" w:cs="楷体"/>
          <w:sz w:val="32"/>
        </w:rPr>
      </w:pPr>
      <w:r>
        <w:rPr>
          <w:rFonts w:ascii="楷体" w:hAnsi="楷体" w:eastAsia="楷体" w:cs="楷体"/>
          <w:sz w:val="32"/>
        </w:rPr>
        <w:t xml:space="preserve">三、支出决算表 </w:t>
      </w:r>
    </w:p>
    <w:p>
      <w:pPr>
        <w:rPr>
          <w:rFonts w:ascii="楷体" w:hAnsi="楷体" w:eastAsia="楷体" w:cs="楷体"/>
          <w:sz w:val="32"/>
        </w:rPr>
      </w:pPr>
      <w:r>
        <w:rPr>
          <w:rFonts w:ascii="楷体" w:hAnsi="楷体" w:eastAsia="楷体" w:cs="楷体"/>
          <w:sz w:val="32"/>
        </w:rPr>
        <w:t xml:space="preserve">四、财政拨款收入支出决算总表 </w:t>
      </w:r>
    </w:p>
    <w:p>
      <w:pPr>
        <w:rPr>
          <w:rFonts w:ascii="楷体" w:hAnsi="楷体" w:eastAsia="楷体" w:cs="楷体"/>
          <w:sz w:val="32"/>
        </w:rPr>
      </w:pPr>
      <w:r>
        <w:rPr>
          <w:rFonts w:ascii="楷体" w:hAnsi="楷体" w:eastAsia="楷体" w:cs="楷体"/>
          <w:sz w:val="32"/>
        </w:rPr>
        <w:t xml:space="preserve">五、一般公共预算财政拨款支出决算表 </w:t>
      </w:r>
    </w:p>
    <w:p>
      <w:pPr>
        <w:rPr>
          <w:rFonts w:ascii="楷体" w:hAnsi="楷体" w:eastAsia="楷体" w:cs="楷体"/>
          <w:sz w:val="32"/>
        </w:rPr>
      </w:pPr>
      <w:r>
        <w:rPr>
          <w:rFonts w:ascii="楷体" w:hAnsi="楷体" w:eastAsia="楷体" w:cs="楷体"/>
          <w:sz w:val="32"/>
        </w:rPr>
        <w:t xml:space="preserve">六、一般公共预算财政拨款基本支出决算表 </w:t>
      </w:r>
    </w:p>
    <w:p>
      <w:pPr>
        <w:rPr>
          <w:rFonts w:ascii="楷体" w:hAnsi="楷体" w:eastAsia="楷体" w:cs="楷体"/>
          <w:sz w:val="32"/>
        </w:rPr>
      </w:pPr>
      <w:r>
        <w:rPr>
          <w:rFonts w:ascii="楷体" w:hAnsi="楷体" w:eastAsia="楷体" w:cs="楷体"/>
          <w:sz w:val="32"/>
        </w:rPr>
        <w:t xml:space="preserve">七、一般公共预算财政拨款“三公”经费支出决算表 </w:t>
      </w:r>
    </w:p>
    <w:p>
      <w:pPr>
        <w:rPr>
          <w:rFonts w:ascii="楷体" w:hAnsi="楷体" w:eastAsia="楷体" w:cs="楷体"/>
          <w:sz w:val="32"/>
        </w:rPr>
      </w:pPr>
      <w:r>
        <w:rPr>
          <w:rFonts w:ascii="楷体" w:hAnsi="楷体" w:eastAsia="楷体" w:cs="楷体"/>
          <w:sz w:val="32"/>
        </w:rPr>
        <w:t xml:space="preserve">八、政府性基金预算财政拨款收入支出决算表 </w:t>
      </w:r>
    </w:p>
    <w:p>
      <w:pPr>
        <w:rPr>
          <w:rFonts w:ascii="楷体" w:hAnsi="楷体" w:eastAsia="楷体" w:cs="楷体"/>
          <w:sz w:val="32"/>
        </w:rPr>
      </w:pPr>
    </w:p>
    <w:p>
      <w:pPr>
        <w:rPr>
          <w:rFonts w:ascii="黑体" w:hAnsi="黑体" w:eastAsia="黑体" w:cs="黑体"/>
          <w:sz w:val="32"/>
        </w:rPr>
      </w:pPr>
      <w:r>
        <w:rPr>
          <w:rFonts w:ascii="黑体" w:hAnsi="黑体" w:eastAsia="黑体" w:cs="黑体"/>
          <w:sz w:val="32"/>
        </w:rPr>
        <w:t>第三部分</w:t>
      </w:r>
      <w:r>
        <w:rPr>
          <w:rFonts w:hint="eastAsia" w:ascii="黑体" w:hAnsi="黑体" w:eastAsia="黑体" w:cs="黑体"/>
          <w:sz w:val="32"/>
        </w:rPr>
        <w:t xml:space="preserve">  益阳市城市管理行政执法局</w:t>
      </w:r>
      <w:r>
        <w:rPr>
          <w:rFonts w:ascii="黑体" w:hAnsi="黑体" w:eastAsia="黑体" w:cs="黑体"/>
          <w:sz w:val="32"/>
        </w:rPr>
        <w:t>201</w:t>
      </w:r>
      <w:r>
        <w:rPr>
          <w:rFonts w:hint="eastAsia" w:ascii="黑体" w:hAnsi="黑体" w:eastAsia="黑体" w:cs="黑体"/>
          <w:sz w:val="32"/>
        </w:rPr>
        <w:t>8</w:t>
      </w:r>
      <w:r>
        <w:rPr>
          <w:rFonts w:ascii="黑体" w:hAnsi="黑体" w:eastAsia="黑体" w:cs="黑体"/>
          <w:sz w:val="32"/>
        </w:rPr>
        <w:t>年度部门决算情况说明</w:t>
      </w:r>
    </w:p>
    <w:p>
      <w:pPr>
        <w:rPr>
          <w:rFonts w:ascii="黑体" w:hAnsi="黑体" w:eastAsia="黑体" w:cs="黑体"/>
          <w:sz w:val="32"/>
        </w:rPr>
      </w:pPr>
    </w:p>
    <w:p>
      <w:pPr>
        <w:rPr>
          <w:rFonts w:ascii="黑体" w:hAnsi="黑体" w:eastAsia="黑体" w:cs="黑体"/>
          <w:sz w:val="32"/>
        </w:rPr>
      </w:pPr>
      <w:r>
        <w:rPr>
          <w:rFonts w:ascii="黑体" w:hAnsi="黑体" w:eastAsia="黑体" w:cs="黑体"/>
          <w:sz w:val="32"/>
        </w:rPr>
        <w:t>第四部分</w:t>
      </w:r>
      <w:r>
        <w:rPr>
          <w:rFonts w:hint="eastAsia" w:ascii="黑体" w:hAnsi="黑体" w:eastAsia="黑体" w:cs="黑体"/>
          <w:sz w:val="32"/>
        </w:rPr>
        <w:t xml:space="preserve">  益阳市城市管理行政执法局</w:t>
      </w:r>
      <w:r>
        <w:rPr>
          <w:rFonts w:ascii="黑体" w:hAnsi="黑体" w:eastAsia="黑体" w:cs="黑体"/>
          <w:sz w:val="32"/>
        </w:rPr>
        <w:t>名词解释</w:t>
      </w:r>
    </w:p>
    <w:p>
      <w:pPr>
        <w:jc w:val="center"/>
        <w:rPr>
          <w:rFonts w:ascii="方正小标宋简体" w:eastAsia="方正小标宋简体" w:cs="方正小标宋_GBK" w:hAnsiTheme="majorEastAsia"/>
          <w:b/>
          <w:sz w:val="44"/>
        </w:rPr>
      </w:pPr>
      <w:r>
        <w:rPr>
          <w:rFonts w:hint="eastAsia" w:ascii="方正小标宋简体" w:hAnsi="宋体" w:eastAsia="方正小标宋简体" w:cs="宋体"/>
          <w:b/>
          <w:sz w:val="44"/>
        </w:rPr>
        <w:t>第一部分</w:t>
      </w:r>
      <w:r>
        <w:rPr>
          <w:rFonts w:hint="eastAsia" w:ascii="方正小标宋简体" w:eastAsia="方正小标宋简体" w:cs="宋体" w:hAnsiTheme="majorEastAsia"/>
          <w:b/>
          <w:sz w:val="44"/>
        </w:rPr>
        <w:t xml:space="preserve"> </w:t>
      </w:r>
      <w:r>
        <w:rPr>
          <w:rFonts w:hint="eastAsia" w:ascii="方正小标宋简体" w:eastAsia="方正小标宋简体" w:cs="方正小标宋_GBK" w:hAnsiTheme="majorEastAsia"/>
          <w:b/>
          <w:sz w:val="44"/>
        </w:rPr>
        <w:t>益阳市城市管理行政执法局</w:t>
      </w:r>
    </w:p>
    <w:p>
      <w:pPr>
        <w:jc w:val="center"/>
        <w:rPr>
          <w:rFonts w:ascii="方正小标宋简体" w:hAnsi="宋体" w:eastAsia="方正小标宋简体" w:cs="宋体"/>
          <w:b/>
          <w:sz w:val="44"/>
        </w:rPr>
      </w:pPr>
      <w:r>
        <w:rPr>
          <w:rFonts w:hint="eastAsia" w:ascii="方正小标宋简体" w:eastAsia="方正小标宋简体" w:cs="宋体" w:hAnsiTheme="majorEastAsia"/>
          <w:b/>
          <w:sz w:val="44"/>
        </w:rPr>
        <w:t>概  况</w:t>
      </w:r>
    </w:p>
    <w:p>
      <w:pPr>
        <w:jc w:val="left"/>
        <w:rPr>
          <w:rFonts w:ascii="黑体" w:hAnsi="黑体" w:eastAsia="黑体" w:cs="黑体"/>
          <w:sz w:val="32"/>
        </w:rPr>
      </w:pPr>
    </w:p>
    <w:p>
      <w:pPr>
        <w:spacing w:line="556" w:lineRule="exact"/>
        <w:jc w:val="left"/>
        <w:rPr>
          <w:rFonts w:ascii="Times New Roman" w:hAnsi="Times New Roman" w:eastAsia="方正仿宋简体" w:cs="Times New Roman"/>
          <w:b/>
          <w:sz w:val="32"/>
          <w:szCs w:val="32"/>
        </w:rPr>
      </w:pPr>
      <w:r>
        <w:rPr>
          <w:rFonts w:ascii="Times New Roman" w:hAnsi="Times New Roman" w:eastAsia="方正仿宋简体" w:cs="Times New Roman"/>
          <w:b/>
          <w:sz w:val="32"/>
          <w:szCs w:val="32"/>
        </w:rPr>
        <w:t>一、主要职能</w:t>
      </w:r>
    </w:p>
    <w:p>
      <w:pPr>
        <w:tabs>
          <w:tab w:val="left" w:pos="540"/>
        </w:tabs>
        <w:spacing w:line="556" w:lineRule="exact"/>
        <w:ind w:left="-181" w:leftChars="-86" w:firstLine="656" w:firstLineChars="205"/>
        <w:jc w:val="left"/>
        <w:rPr>
          <w:rFonts w:ascii="Times New Roman" w:hAnsi="Times New Roman" w:eastAsia="方正仿宋简体" w:cs="Times New Roman"/>
          <w:sz w:val="32"/>
          <w:szCs w:val="32"/>
        </w:rPr>
      </w:pPr>
      <w:r>
        <w:rPr>
          <w:rFonts w:ascii="Times New Roman" w:hAnsi="Times New Roman" w:eastAsia="方正仿宋简体" w:cs="Times New Roman"/>
          <w:sz w:val="32"/>
          <w:szCs w:val="32"/>
        </w:rPr>
        <w:t>1、贯彻执行有关城市管理工作的方针、政策和法律、法规，组织起草有关地方性法规、规章和政策草案；参与城市总体规划、城镇体系规划及城市建设管理有关专项规划的编制工作。</w:t>
      </w:r>
      <w:r>
        <w:rPr>
          <w:rFonts w:ascii="Times New Roman" w:hAnsi="Times New Roman" w:eastAsia="方正仿宋简体" w:cs="Times New Roman"/>
          <w:sz w:val="32"/>
          <w:szCs w:val="32"/>
        </w:rPr>
        <w:br w:type="textWrapping"/>
      </w:r>
      <w:r>
        <w:rPr>
          <w:rFonts w:ascii="Times New Roman" w:hAnsi="Times New Roman" w:eastAsia="方正仿宋简体" w:cs="Times New Roman"/>
          <w:sz w:val="32"/>
          <w:szCs w:val="32"/>
        </w:rPr>
        <w:t xml:space="preserve">   </w:t>
      </w:r>
      <w:r>
        <w:rPr>
          <w:rFonts w:hint="eastAsia" w:ascii="Times New Roman" w:hAnsi="Times New Roman" w:eastAsia="方正仿宋简体" w:cs="Times New Roman"/>
          <w:sz w:val="32"/>
          <w:szCs w:val="32"/>
        </w:rPr>
        <w:t xml:space="preserve">    </w:t>
      </w:r>
      <w:r>
        <w:rPr>
          <w:rFonts w:ascii="Times New Roman" w:hAnsi="Times New Roman" w:eastAsia="方正仿宋简体" w:cs="Times New Roman"/>
          <w:sz w:val="32"/>
          <w:szCs w:val="32"/>
        </w:rPr>
        <w:t xml:space="preserve"> 2、负责组织实施中心城区（指《益阳市城市总体规划（2004-2020）》确定的中心城区主城区范围，下同）市容环境卫生行业管理；拟订中心城区市容环境卫生管理规范、规划和年度计划，经批准后组织实施；指导监督中心城区市容环境卫生清扫保洁。</w:t>
      </w:r>
      <w:r>
        <w:rPr>
          <w:rFonts w:ascii="Times New Roman" w:hAnsi="Times New Roman" w:eastAsia="方正仿宋简体" w:cs="Times New Roman"/>
          <w:sz w:val="32"/>
          <w:szCs w:val="32"/>
        </w:rPr>
        <w:br w:type="textWrapping"/>
      </w:r>
      <w:r>
        <w:rPr>
          <w:rFonts w:ascii="Times New Roman" w:hAnsi="Times New Roman" w:eastAsia="方正仿宋简体" w:cs="Times New Roman"/>
          <w:sz w:val="32"/>
          <w:szCs w:val="32"/>
        </w:rPr>
        <w:t xml:space="preserve">   </w:t>
      </w:r>
      <w:r>
        <w:rPr>
          <w:rFonts w:hint="eastAsia" w:ascii="Times New Roman" w:hAnsi="Times New Roman" w:eastAsia="方正仿宋简体" w:cs="Times New Roman"/>
          <w:sz w:val="32"/>
          <w:szCs w:val="32"/>
        </w:rPr>
        <w:t xml:space="preserve">    </w:t>
      </w:r>
      <w:r>
        <w:rPr>
          <w:rFonts w:ascii="Times New Roman" w:hAnsi="Times New Roman" w:eastAsia="方正仿宋简体" w:cs="Times New Roman"/>
          <w:sz w:val="32"/>
          <w:szCs w:val="32"/>
        </w:rPr>
        <w:t>3、负责中心城区城市生活垃圾经营性服务审批和城市建筑垃圾处置核准、非建设类临时占道许可、城市户外广告设置审批及相关违法违规行为的监督管理和行政处罚。</w:t>
      </w:r>
      <w:r>
        <w:rPr>
          <w:rFonts w:ascii="Times New Roman" w:hAnsi="Times New Roman" w:eastAsia="方正仿宋简体" w:cs="Times New Roman"/>
          <w:sz w:val="32"/>
          <w:szCs w:val="32"/>
        </w:rPr>
        <w:br w:type="textWrapping"/>
      </w:r>
      <w:r>
        <w:rPr>
          <w:rFonts w:ascii="Times New Roman" w:hAnsi="Times New Roman" w:eastAsia="方正仿宋简体" w:cs="Times New Roman"/>
          <w:sz w:val="32"/>
          <w:szCs w:val="32"/>
        </w:rPr>
        <w:t xml:space="preserve">   </w:t>
      </w:r>
      <w:r>
        <w:rPr>
          <w:rFonts w:hint="eastAsia" w:ascii="Times New Roman" w:hAnsi="Times New Roman" w:eastAsia="方正仿宋简体" w:cs="Times New Roman"/>
          <w:sz w:val="32"/>
          <w:szCs w:val="32"/>
        </w:rPr>
        <w:t xml:space="preserve">    </w:t>
      </w:r>
      <w:r>
        <w:rPr>
          <w:rFonts w:ascii="Times New Roman" w:hAnsi="Times New Roman" w:eastAsia="方正仿宋简体" w:cs="Times New Roman"/>
          <w:sz w:val="32"/>
          <w:szCs w:val="32"/>
        </w:rPr>
        <w:t>4、负责中心城区主次干道及沿道第一排建筑红线以内区域（没有建筑物的至沿道50米范围内）（以下简称主次干道）的市容环境卫生、市政设施（含所有区域的供排水和燃气设施）、园林绿化、流动商贩、侵占城市道路及焚烧垃圾、秸杆、落叶等产生烟尘污染和经营性餐饮业油烟污染的监督管理、行政处罚，强制拆除主次干道不符合城市容貌和环境卫生标准的建筑物或设施。</w:t>
      </w:r>
      <w:r>
        <w:rPr>
          <w:rFonts w:ascii="Times New Roman" w:hAnsi="Times New Roman" w:eastAsia="方正仿宋简体" w:cs="Times New Roman"/>
          <w:sz w:val="32"/>
          <w:szCs w:val="32"/>
        </w:rPr>
        <w:br w:type="textWrapping"/>
      </w:r>
      <w:r>
        <w:rPr>
          <w:rFonts w:ascii="Times New Roman" w:hAnsi="Times New Roman" w:eastAsia="方正仿宋简体" w:cs="Times New Roman"/>
          <w:sz w:val="32"/>
          <w:szCs w:val="32"/>
        </w:rPr>
        <w:t xml:space="preserve">   </w:t>
      </w:r>
      <w:r>
        <w:rPr>
          <w:rFonts w:hint="eastAsia" w:ascii="Times New Roman" w:hAnsi="Times New Roman" w:eastAsia="方正仿宋简体" w:cs="Times New Roman"/>
          <w:sz w:val="32"/>
          <w:szCs w:val="32"/>
        </w:rPr>
        <w:t xml:space="preserve">    </w:t>
      </w:r>
      <w:r>
        <w:rPr>
          <w:rFonts w:ascii="Times New Roman" w:hAnsi="Times New Roman" w:eastAsia="方正仿宋简体" w:cs="Times New Roman"/>
          <w:sz w:val="32"/>
          <w:szCs w:val="32"/>
        </w:rPr>
        <w:t>5、负责查违控违拆违工作的综合监督和考核，负责中心城区已经规划行政可的建设工程项目违反城乡规划法律法规行为的行政处罚，负责主次干道未经规划行政许可违规建设的监督管理、行政处罚和强制拆除。</w:t>
      </w:r>
      <w:r>
        <w:rPr>
          <w:rFonts w:ascii="Times New Roman" w:hAnsi="Times New Roman" w:eastAsia="方正仿宋简体" w:cs="Times New Roman"/>
          <w:sz w:val="32"/>
          <w:szCs w:val="32"/>
        </w:rPr>
        <w:br w:type="textWrapping"/>
      </w:r>
      <w:r>
        <w:rPr>
          <w:rFonts w:ascii="Times New Roman" w:hAnsi="Times New Roman" w:eastAsia="方正仿宋简体" w:cs="Times New Roman"/>
          <w:sz w:val="32"/>
          <w:szCs w:val="32"/>
        </w:rPr>
        <w:t> </w:t>
      </w:r>
      <w:r>
        <w:rPr>
          <w:rFonts w:hint="eastAsia" w:ascii="Times New Roman" w:hAnsi="Times New Roman" w:eastAsia="方正仿宋简体" w:cs="Times New Roman"/>
          <w:sz w:val="32"/>
          <w:szCs w:val="32"/>
        </w:rPr>
        <w:t xml:space="preserve">     </w:t>
      </w:r>
      <w:r>
        <w:rPr>
          <w:rFonts w:ascii="Times New Roman" w:hAnsi="Times New Roman" w:eastAsia="方正仿宋简体" w:cs="Times New Roman"/>
          <w:sz w:val="32"/>
          <w:szCs w:val="32"/>
        </w:rPr>
        <w:t> 6、负责中心城区“门前三包“责任制的监督和考核工作；负责中心城区数字化城市管理系统平台的建设、运行和管理维护；参与中心城区城市建设和维护资金年度计划的编制工作。</w:t>
      </w:r>
      <w:r>
        <w:rPr>
          <w:rFonts w:ascii="Times New Roman" w:hAnsi="Times New Roman" w:eastAsia="方正仿宋简体" w:cs="Times New Roman"/>
          <w:sz w:val="32"/>
          <w:szCs w:val="32"/>
        </w:rPr>
        <w:br w:type="textWrapping"/>
      </w:r>
      <w:r>
        <w:rPr>
          <w:rFonts w:ascii="Times New Roman" w:hAnsi="Times New Roman" w:eastAsia="方正仿宋简体" w:cs="Times New Roman"/>
          <w:sz w:val="32"/>
          <w:szCs w:val="32"/>
        </w:rPr>
        <w:t> </w:t>
      </w:r>
      <w:r>
        <w:rPr>
          <w:rFonts w:hint="eastAsia" w:ascii="Times New Roman" w:hAnsi="Times New Roman" w:eastAsia="方正仿宋简体" w:cs="Times New Roman"/>
          <w:sz w:val="32"/>
          <w:szCs w:val="32"/>
        </w:rPr>
        <w:t xml:space="preserve">     </w:t>
      </w:r>
      <w:r>
        <w:rPr>
          <w:rFonts w:ascii="Times New Roman" w:hAnsi="Times New Roman" w:eastAsia="方正仿宋简体" w:cs="Times New Roman"/>
          <w:sz w:val="32"/>
          <w:szCs w:val="32"/>
        </w:rPr>
        <w:t> 7</w:t>
      </w:r>
      <w:r>
        <w:rPr>
          <w:rFonts w:hint="eastAsia" w:ascii="Times New Roman" w:hAnsi="Times New Roman" w:eastAsia="方正仿宋简体" w:cs="Times New Roman"/>
          <w:sz w:val="32"/>
          <w:szCs w:val="32"/>
        </w:rPr>
        <w:t>、</w:t>
      </w:r>
      <w:r>
        <w:rPr>
          <w:rFonts w:ascii="Times New Roman" w:hAnsi="Times New Roman" w:eastAsia="方正仿宋简体" w:cs="Times New Roman"/>
          <w:sz w:val="32"/>
          <w:szCs w:val="32"/>
        </w:rPr>
        <w:t>负责组织中心城区城市管理行政执法重大专项行动；指导区县（市）城市管理行政执法工作。</w:t>
      </w:r>
      <w:r>
        <w:rPr>
          <w:rFonts w:ascii="Times New Roman" w:hAnsi="Times New Roman" w:eastAsia="方正仿宋简体" w:cs="Times New Roman"/>
          <w:sz w:val="32"/>
          <w:szCs w:val="32"/>
        </w:rPr>
        <w:br w:type="textWrapping"/>
      </w:r>
      <w:r>
        <w:rPr>
          <w:rFonts w:ascii="Times New Roman" w:hAnsi="Times New Roman" w:eastAsia="方正仿宋简体" w:cs="Times New Roman"/>
          <w:sz w:val="32"/>
          <w:szCs w:val="32"/>
        </w:rPr>
        <w:t xml:space="preserve">   </w:t>
      </w:r>
      <w:r>
        <w:rPr>
          <w:rFonts w:hint="eastAsia" w:ascii="Times New Roman" w:hAnsi="Times New Roman" w:eastAsia="方正仿宋简体" w:cs="Times New Roman"/>
          <w:sz w:val="32"/>
          <w:szCs w:val="32"/>
        </w:rPr>
        <w:t xml:space="preserve">    </w:t>
      </w:r>
      <w:r>
        <w:rPr>
          <w:rFonts w:ascii="Times New Roman" w:hAnsi="Times New Roman" w:eastAsia="方正仿宋简体" w:cs="Times New Roman"/>
          <w:sz w:val="32"/>
          <w:szCs w:val="32"/>
        </w:rPr>
        <w:t>8、承担城市管理委员会的日常工作。</w:t>
      </w:r>
      <w:r>
        <w:rPr>
          <w:rFonts w:ascii="Times New Roman" w:hAnsi="Times New Roman" w:eastAsia="方正仿宋简体" w:cs="Times New Roman"/>
          <w:sz w:val="32"/>
          <w:szCs w:val="32"/>
        </w:rPr>
        <w:br w:type="textWrapping"/>
      </w:r>
      <w:r>
        <w:rPr>
          <w:rFonts w:ascii="Times New Roman" w:hAnsi="Times New Roman" w:eastAsia="方正仿宋简体" w:cs="Times New Roman"/>
          <w:sz w:val="32"/>
          <w:szCs w:val="32"/>
        </w:rPr>
        <w:t>  </w:t>
      </w:r>
      <w:r>
        <w:rPr>
          <w:rFonts w:hint="eastAsia" w:ascii="Times New Roman" w:hAnsi="Times New Roman" w:eastAsia="方正仿宋简体" w:cs="Times New Roman"/>
          <w:sz w:val="32"/>
          <w:szCs w:val="32"/>
        </w:rPr>
        <w:t xml:space="preserve">     </w:t>
      </w:r>
      <w:r>
        <w:rPr>
          <w:rFonts w:ascii="Times New Roman" w:hAnsi="Times New Roman" w:eastAsia="方正仿宋简体" w:cs="Times New Roman"/>
          <w:sz w:val="32"/>
          <w:szCs w:val="32"/>
        </w:rPr>
        <w:t>9、承办市政府交办的其他事项。</w:t>
      </w:r>
    </w:p>
    <w:p>
      <w:pPr>
        <w:spacing w:line="556" w:lineRule="exact"/>
        <w:jc w:val="left"/>
        <w:rPr>
          <w:rFonts w:ascii="Times New Roman" w:hAnsi="Times New Roman" w:eastAsia="方正仿宋简体" w:cs="Times New Roman"/>
          <w:b/>
          <w:sz w:val="32"/>
          <w:szCs w:val="32"/>
        </w:rPr>
      </w:pPr>
    </w:p>
    <w:p>
      <w:pPr>
        <w:spacing w:line="556" w:lineRule="exact"/>
        <w:jc w:val="left"/>
        <w:rPr>
          <w:rFonts w:ascii="Times New Roman" w:hAnsi="Times New Roman" w:eastAsia="方正仿宋简体" w:cs="Times New Roman"/>
          <w:b/>
          <w:sz w:val="32"/>
          <w:szCs w:val="32"/>
        </w:rPr>
      </w:pPr>
      <w:r>
        <w:rPr>
          <w:rFonts w:ascii="Times New Roman" w:hAnsi="Times New Roman" w:eastAsia="方正仿宋简体" w:cs="Times New Roman"/>
          <w:b/>
          <w:sz w:val="32"/>
          <w:szCs w:val="32"/>
        </w:rPr>
        <w:t>二、机构设置</w:t>
      </w:r>
    </w:p>
    <w:p>
      <w:pPr>
        <w:spacing w:line="556" w:lineRule="exact"/>
        <w:ind w:left="-181" w:leftChars="-86" w:right="210" w:rightChars="100" w:firstLine="656" w:firstLineChars="205"/>
        <w:rPr>
          <w:rFonts w:ascii="Times New Roman" w:hAnsi="Times New Roman" w:eastAsia="方正仿宋简体" w:cs="Times New Roman"/>
          <w:sz w:val="32"/>
          <w:szCs w:val="32"/>
        </w:rPr>
      </w:pPr>
      <w:r>
        <w:rPr>
          <w:rFonts w:ascii="Times New Roman" w:hAnsi="Times New Roman" w:eastAsia="方正仿宋简体" w:cs="Times New Roman"/>
          <w:sz w:val="32"/>
          <w:szCs w:val="32"/>
        </w:rPr>
        <w:t>根据《益阳市人民政府办公室关于印发益阳市城市管理行政执法局主要职责内设机构和人员编制规定的通知》（益政办发〔2016〕4号），机关内设办公室、法规科、市容科、督察科、人事科、财务科6个正科级职能科室，下设五个直属大队（一、二、三、四、五大队）、市城市管理指挥中心、市城区资江风貌带联合执法管理办公室等7个</w:t>
      </w:r>
      <w:r>
        <w:rPr>
          <w:rFonts w:hint="eastAsia" w:ascii="Times New Roman" w:hAnsi="Times New Roman" w:eastAsia="方正仿宋简体" w:cs="Times New Roman"/>
          <w:sz w:val="32"/>
          <w:szCs w:val="32"/>
          <w:lang w:eastAsia="zh-CN"/>
        </w:rPr>
        <w:t>非独立核算的</w:t>
      </w:r>
      <w:r>
        <w:rPr>
          <w:rFonts w:ascii="Times New Roman" w:hAnsi="Times New Roman" w:eastAsia="方正仿宋简体" w:cs="Times New Roman"/>
          <w:sz w:val="32"/>
          <w:szCs w:val="32"/>
        </w:rPr>
        <w:t>正科级单位和市环境卫生管理处、市规划执法支队2个副处级</w:t>
      </w:r>
      <w:r>
        <w:rPr>
          <w:rFonts w:hint="eastAsia" w:ascii="Times New Roman" w:hAnsi="Times New Roman" w:eastAsia="方正仿宋简体" w:cs="Times New Roman"/>
          <w:sz w:val="32"/>
          <w:szCs w:val="32"/>
          <w:lang w:eastAsia="zh-CN"/>
        </w:rPr>
        <w:t>独立核算的二级</w:t>
      </w:r>
      <w:r>
        <w:rPr>
          <w:rFonts w:ascii="Times New Roman" w:hAnsi="Times New Roman" w:eastAsia="方正仿宋简体" w:cs="Times New Roman"/>
          <w:sz w:val="32"/>
          <w:szCs w:val="32"/>
        </w:rPr>
        <w:t>单位。</w:t>
      </w:r>
    </w:p>
    <w:p>
      <w:pPr>
        <w:spacing w:line="556" w:lineRule="exact"/>
        <w:jc w:val="left"/>
        <w:rPr>
          <w:rFonts w:ascii="Times New Roman" w:hAnsi="Times New Roman" w:eastAsia="方正仿宋简体" w:cs="Times New Roman"/>
          <w:b/>
          <w:sz w:val="32"/>
          <w:szCs w:val="32"/>
        </w:rPr>
      </w:pPr>
    </w:p>
    <w:p>
      <w:pPr>
        <w:spacing w:line="556" w:lineRule="exact"/>
        <w:jc w:val="left"/>
        <w:rPr>
          <w:rFonts w:ascii="Times New Roman" w:hAnsi="Times New Roman" w:eastAsia="方正仿宋简体" w:cs="Times New Roman"/>
          <w:b/>
          <w:sz w:val="32"/>
          <w:szCs w:val="32"/>
        </w:rPr>
      </w:pPr>
      <w:r>
        <w:rPr>
          <w:rFonts w:ascii="Times New Roman" w:hAnsi="Times New Roman" w:eastAsia="方正仿宋简体" w:cs="Times New Roman"/>
          <w:b/>
          <w:sz w:val="32"/>
          <w:szCs w:val="32"/>
        </w:rPr>
        <w:t>三、部门决算单位构成</w:t>
      </w:r>
    </w:p>
    <w:p>
      <w:pPr>
        <w:spacing w:line="556" w:lineRule="exact"/>
        <w:ind w:firstLine="640" w:firstLineChars="200"/>
        <w:rPr>
          <w:rFonts w:ascii="Times New Roman" w:hAnsi="Times New Roman" w:eastAsia="方正仿宋简体" w:cs="Times New Roman"/>
          <w:sz w:val="32"/>
          <w:szCs w:val="32"/>
        </w:rPr>
      </w:pPr>
      <w:r>
        <w:rPr>
          <w:rFonts w:ascii="Times New Roman" w:hAnsi="Times New Roman" w:eastAsia="方正仿宋简体" w:cs="Times New Roman"/>
          <w:sz w:val="32"/>
          <w:szCs w:val="32"/>
        </w:rPr>
        <w:t>从决算单位构成看，益阳市城市管理行政执法局</w:t>
      </w:r>
      <w:r>
        <w:rPr>
          <w:rFonts w:hint="eastAsia" w:ascii="Times New Roman" w:hAnsi="Times New Roman" w:eastAsia="方正仿宋简体" w:cs="Times New Roman"/>
          <w:sz w:val="32"/>
          <w:szCs w:val="32"/>
        </w:rPr>
        <w:t>机关</w:t>
      </w:r>
      <w:r>
        <w:rPr>
          <w:rFonts w:ascii="Times New Roman" w:hAnsi="Times New Roman" w:eastAsia="方正仿宋简体" w:cs="Times New Roman"/>
          <w:sz w:val="32"/>
          <w:szCs w:val="32"/>
        </w:rPr>
        <w:t>部门决算只包含本级决算</w:t>
      </w:r>
    </w:p>
    <w:tbl>
      <w:tblPr>
        <w:tblStyle w:val="4"/>
        <w:tblW w:w="0" w:type="auto"/>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35"/>
        <w:gridCol w:w="62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tcPr>
          <w:p>
            <w:pPr>
              <w:spacing w:line="556" w:lineRule="exact"/>
              <w:jc w:val="center"/>
              <w:rPr>
                <w:rFonts w:ascii="Times New Roman" w:hAnsi="Times New Roman" w:eastAsia="方正仿宋简体" w:cs="Times New Roman"/>
                <w:b/>
                <w:bCs/>
                <w:sz w:val="32"/>
                <w:szCs w:val="32"/>
              </w:rPr>
            </w:pPr>
            <w:r>
              <w:rPr>
                <w:rFonts w:ascii="Times New Roman" w:hAnsi="Times New Roman" w:eastAsia="方正仿宋简体" w:cs="Times New Roman"/>
                <w:b/>
                <w:bCs/>
                <w:sz w:val="32"/>
                <w:szCs w:val="32"/>
              </w:rPr>
              <w:t>序号</w:t>
            </w:r>
          </w:p>
        </w:tc>
        <w:tc>
          <w:tcPr>
            <w:tcW w:w="6287" w:type="dxa"/>
          </w:tcPr>
          <w:p>
            <w:pPr>
              <w:spacing w:line="556" w:lineRule="exact"/>
              <w:jc w:val="center"/>
              <w:rPr>
                <w:rFonts w:ascii="Times New Roman" w:hAnsi="Times New Roman" w:eastAsia="方正仿宋简体" w:cs="Times New Roman"/>
                <w:b/>
                <w:bCs/>
                <w:sz w:val="32"/>
                <w:szCs w:val="32"/>
              </w:rPr>
            </w:pPr>
            <w:r>
              <w:rPr>
                <w:rFonts w:ascii="Times New Roman" w:hAnsi="Times New Roman" w:eastAsia="方正仿宋简体" w:cs="Times New Roman"/>
                <w:b/>
                <w:bCs/>
                <w:sz w:val="32"/>
                <w:szCs w:val="32"/>
              </w:rPr>
              <w:t>单位名称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tcPr>
          <w:p>
            <w:pPr>
              <w:spacing w:line="556" w:lineRule="exact"/>
              <w:jc w:val="center"/>
              <w:rPr>
                <w:rFonts w:ascii="Times New Roman" w:hAnsi="Times New Roman" w:eastAsia="方正仿宋简体" w:cs="Times New Roman"/>
                <w:b/>
                <w:bCs/>
                <w:sz w:val="32"/>
                <w:szCs w:val="32"/>
              </w:rPr>
            </w:pPr>
            <w:r>
              <w:rPr>
                <w:rFonts w:ascii="Times New Roman" w:hAnsi="Times New Roman" w:eastAsia="方正仿宋简体" w:cs="Times New Roman"/>
                <w:b/>
                <w:bCs/>
                <w:sz w:val="32"/>
                <w:szCs w:val="32"/>
              </w:rPr>
              <w:t>1</w:t>
            </w:r>
          </w:p>
        </w:tc>
        <w:tc>
          <w:tcPr>
            <w:tcW w:w="6287" w:type="dxa"/>
          </w:tcPr>
          <w:p>
            <w:pPr>
              <w:spacing w:line="556"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益阳市城市管理行政执法局</w:t>
            </w:r>
          </w:p>
        </w:tc>
      </w:tr>
    </w:tbl>
    <w:p>
      <w:pPr>
        <w:spacing w:line="556" w:lineRule="exact"/>
        <w:jc w:val="both"/>
        <w:rPr>
          <w:rFonts w:ascii="Times New Roman" w:hAnsi="Times New Roman" w:eastAsia="方正仿宋简体" w:cs="Times New Roman"/>
          <w:sz w:val="32"/>
          <w:szCs w:val="32"/>
        </w:rPr>
      </w:pPr>
    </w:p>
    <w:p>
      <w:pPr>
        <w:spacing w:line="556" w:lineRule="exact"/>
        <w:jc w:val="center"/>
        <w:rPr>
          <w:rFonts w:ascii="方正小标宋简体" w:hAnsi="Times New Roman" w:eastAsia="方正小标宋简体" w:cs="Times New Roman"/>
          <w:b/>
          <w:sz w:val="44"/>
          <w:szCs w:val="44"/>
        </w:rPr>
      </w:pPr>
    </w:p>
    <w:p>
      <w:pPr>
        <w:numPr>
          <w:ilvl w:val="0"/>
          <w:numId w:val="1"/>
        </w:numPr>
        <w:spacing w:line="556" w:lineRule="exact"/>
        <w:jc w:val="center"/>
        <w:rPr>
          <w:rFonts w:hint="eastAsia" w:ascii="方正小标宋简体" w:hAnsi="Times New Roman" w:eastAsia="方正小标宋简体" w:cs="Times New Roman"/>
          <w:b/>
          <w:sz w:val="44"/>
          <w:szCs w:val="44"/>
        </w:rPr>
      </w:pPr>
      <w:r>
        <w:rPr>
          <w:rFonts w:hint="eastAsia" w:ascii="方正小标宋简体" w:hAnsi="Times New Roman" w:eastAsia="方正小标宋简体" w:cs="Times New Roman"/>
          <w:b/>
          <w:sz w:val="44"/>
          <w:szCs w:val="44"/>
        </w:rPr>
        <w:t>益阳市城市管理行政执法局</w:t>
      </w:r>
    </w:p>
    <w:p>
      <w:pPr>
        <w:numPr>
          <w:numId w:val="0"/>
        </w:numPr>
        <w:spacing w:line="556" w:lineRule="exact"/>
        <w:jc w:val="center"/>
        <w:rPr>
          <w:rFonts w:hint="eastAsia" w:ascii="方正小标宋简体" w:hAnsi="Times New Roman" w:eastAsia="方正小标宋简体" w:cs="Times New Roman"/>
          <w:b/>
          <w:sz w:val="44"/>
          <w:szCs w:val="44"/>
          <w:lang w:eastAsia="zh-CN"/>
        </w:rPr>
      </w:pPr>
      <w:r>
        <w:rPr>
          <w:rFonts w:hint="eastAsia" w:ascii="方正小标宋简体" w:hAnsi="Times New Roman" w:eastAsia="方正小标宋简体" w:cs="Times New Roman"/>
          <w:b/>
          <w:sz w:val="44"/>
          <w:szCs w:val="44"/>
          <w:lang w:eastAsia="zh-CN"/>
        </w:rPr>
        <w:t>（机关）</w:t>
      </w:r>
    </w:p>
    <w:p>
      <w:pPr>
        <w:spacing w:line="556" w:lineRule="exact"/>
        <w:jc w:val="center"/>
        <w:rPr>
          <w:rFonts w:ascii="方正小标宋简体" w:hAnsi="Times New Roman" w:eastAsia="方正小标宋简体" w:cs="Times New Roman"/>
          <w:b/>
          <w:sz w:val="44"/>
          <w:szCs w:val="44"/>
        </w:rPr>
      </w:pPr>
      <w:r>
        <w:rPr>
          <w:rFonts w:hint="eastAsia" w:ascii="方正小标宋简体" w:hAnsi="Times New Roman" w:eastAsia="方正小标宋简体" w:cs="Times New Roman"/>
          <w:b/>
          <w:sz w:val="44"/>
          <w:szCs w:val="44"/>
        </w:rPr>
        <w:t>2018 年度部门决算表</w:t>
      </w:r>
    </w:p>
    <w:p>
      <w:pPr>
        <w:spacing w:line="556" w:lineRule="exact"/>
        <w:ind w:firstLine="640"/>
        <w:rPr>
          <w:rFonts w:ascii="Times New Roman" w:hAnsi="Times New Roman" w:eastAsia="方正仿宋简体" w:cs="Times New Roman"/>
          <w:sz w:val="32"/>
          <w:szCs w:val="32"/>
        </w:rPr>
      </w:pPr>
    </w:p>
    <w:p>
      <w:pPr>
        <w:spacing w:line="556" w:lineRule="exact"/>
        <w:jc w:val="left"/>
        <w:rPr>
          <w:rFonts w:ascii="Times New Roman" w:hAnsi="Times New Roman" w:eastAsia="方正仿宋简体" w:cs="Times New Roman"/>
          <w:sz w:val="32"/>
          <w:szCs w:val="32"/>
        </w:rPr>
      </w:pPr>
      <w:r>
        <w:rPr>
          <w:rFonts w:ascii="Times New Roman" w:hAnsi="Times New Roman" w:eastAsia="方正仿宋简体" w:cs="Times New Roman"/>
          <w:sz w:val="32"/>
          <w:szCs w:val="32"/>
        </w:rPr>
        <w:t>表1：收入支出决算总表</w:t>
      </w:r>
    </w:p>
    <w:p>
      <w:pPr>
        <w:spacing w:line="556" w:lineRule="exact"/>
        <w:jc w:val="left"/>
        <w:rPr>
          <w:rFonts w:ascii="Times New Roman" w:hAnsi="Times New Roman" w:eastAsia="方正仿宋简体" w:cs="Times New Roman"/>
          <w:sz w:val="32"/>
          <w:szCs w:val="32"/>
        </w:rPr>
      </w:pPr>
      <w:r>
        <w:rPr>
          <w:rFonts w:ascii="Times New Roman" w:hAnsi="Times New Roman" w:eastAsia="方正仿宋简体" w:cs="Times New Roman"/>
          <w:sz w:val="32"/>
          <w:szCs w:val="32"/>
        </w:rPr>
        <w:t>表2：收入决算表</w:t>
      </w:r>
    </w:p>
    <w:p>
      <w:pPr>
        <w:spacing w:line="556" w:lineRule="exact"/>
        <w:jc w:val="left"/>
        <w:rPr>
          <w:rFonts w:ascii="Times New Roman" w:hAnsi="Times New Roman" w:eastAsia="方正仿宋简体" w:cs="Times New Roman"/>
          <w:sz w:val="32"/>
          <w:szCs w:val="32"/>
        </w:rPr>
      </w:pPr>
      <w:r>
        <w:rPr>
          <w:rFonts w:ascii="Times New Roman" w:hAnsi="Times New Roman" w:eastAsia="方正仿宋简体" w:cs="Times New Roman"/>
          <w:sz w:val="32"/>
          <w:szCs w:val="32"/>
        </w:rPr>
        <w:t>表3：支出决算表</w:t>
      </w:r>
    </w:p>
    <w:p>
      <w:pPr>
        <w:spacing w:line="556" w:lineRule="exact"/>
        <w:jc w:val="left"/>
        <w:rPr>
          <w:rFonts w:ascii="Times New Roman" w:hAnsi="Times New Roman" w:eastAsia="方正仿宋简体" w:cs="Times New Roman"/>
          <w:sz w:val="32"/>
          <w:szCs w:val="32"/>
        </w:rPr>
      </w:pPr>
      <w:r>
        <w:rPr>
          <w:rFonts w:ascii="Times New Roman" w:hAnsi="Times New Roman" w:eastAsia="方正仿宋简体" w:cs="Times New Roman"/>
          <w:sz w:val="32"/>
          <w:szCs w:val="32"/>
        </w:rPr>
        <w:t>表4：财政拨款收入支出决算总表</w:t>
      </w:r>
    </w:p>
    <w:p>
      <w:pPr>
        <w:spacing w:line="556" w:lineRule="exact"/>
        <w:jc w:val="left"/>
        <w:rPr>
          <w:rFonts w:ascii="Times New Roman" w:hAnsi="Times New Roman" w:eastAsia="方正仿宋简体" w:cs="Times New Roman"/>
          <w:sz w:val="32"/>
          <w:szCs w:val="32"/>
        </w:rPr>
      </w:pPr>
      <w:r>
        <w:rPr>
          <w:rFonts w:ascii="Times New Roman" w:hAnsi="Times New Roman" w:eastAsia="方正仿宋简体" w:cs="Times New Roman"/>
          <w:sz w:val="32"/>
          <w:szCs w:val="32"/>
        </w:rPr>
        <w:t>表5：一般公共预算财政拨款支出决算表</w:t>
      </w:r>
    </w:p>
    <w:p>
      <w:pPr>
        <w:spacing w:line="556" w:lineRule="exact"/>
        <w:jc w:val="left"/>
        <w:rPr>
          <w:rFonts w:ascii="Times New Roman" w:hAnsi="Times New Roman" w:eastAsia="方正仿宋简体" w:cs="Times New Roman"/>
          <w:sz w:val="32"/>
          <w:szCs w:val="32"/>
        </w:rPr>
      </w:pPr>
      <w:r>
        <w:rPr>
          <w:rFonts w:ascii="Times New Roman" w:hAnsi="Times New Roman" w:eastAsia="方正仿宋简体" w:cs="Times New Roman"/>
          <w:sz w:val="32"/>
          <w:szCs w:val="32"/>
        </w:rPr>
        <w:t>表6：一般公共预算财政拨款基本支出决算表</w:t>
      </w:r>
    </w:p>
    <w:p>
      <w:pPr>
        <w:spacing w:line="556" w:lineRule="exact"/>
        <w:jc w:val="left"/>
        <w:rPr>
          <w:rFonts w:ascii="Times New Roman" w:hAnsi="Times New Roman" w:eastAsia="方正仿宋简体" w:cs="Times New Roman"/>
          <w:sz w:val="32"/>
          <w:szCs w:val="32"/>
        </w:rPr>
      </w:pPr>
      <w:r>
        <w:rPr>
          <w:rFonts w:ascii="Times New Roman" w:hAnsi="Times New Roman" w:eastAsia="方正仿宋简体" w:cs="Times New Roman"/>
          <w:sz w:val="32"/>
          <w:szCs w:val="32"/>
        </w:rPr>
        <w:t>表7：一般公共预算财政拨款“三公”经费支出决算表</w:t>
      </w:r>
    </w:p>
    <w:p>
      <w:pPr>
        <w:spacing w:line="556" w:lineRule="exact"/>
        <w:jc w:val="left"/>
        <w:rPr>
          <w:rFonts w:ascii="Times New Roman" w:hAnsi="Times New Roman" w:eastAsia="方正仿宋简体" w:cs="Times New Roman"/>
          <w:sz w:val="32"/>
          <w:szCs w:val="32"/>
        </w:rPr>
      </w:pPr>
      <w:r>
        <w:rPr>
          <w:rFonts w:ascii="Times New Roman" w:hAnsi="Times New Roman" w:eastAsia="方正仿宋简体" w:cs="Times New Roman"/>
          <w:sz w:val="32"/>
          <w:szCs w:val="32"/>
        </w:rPr>
        <w:t>表8：政府性基金预算财政拨款收入支出决算表</w:t>
      </w:r>
    </w:p>
    <w:p>
      <w:pPr>
        <w:spacing w:line="556" w:lineRule="exact"/>
        <w:jc w:val="left"/>
        <w:rPr>
          <w:rFonts w:ascii="Times New Roman" w:hAnsi="Times New Roman" w:eastAsia="方正仿宋简体" w:cs="Times New Roman"/>
          <w:b/>
          <w:sz w:val="32"/>
          <w:szCs w:val="32"/>
        </w:rPr>
      </w:pPr>
    </w:p>
    <w:p>
      <w:pPr>
        <w:spacing w:line="556" w:lineRule="exact"/>
        <w:jc w:val="left"/>
        <w:rPr>
          <w:rFonts w:ascii="Times New Roman" w:hAnsi="Times New Roman" w:eastAsia="方正仿宋简体" w:cs="Times New Roman"/>
          <w:b/>
          <w:sz w:val="32"/>
          <w:szCs w:val="32"/>
        </w:rPr>
      </w:pPr>
      <w:r>
        <w:rPr>
          <w:rFonts w:ascii="Times New Roman" w:hAnsi="Times New Roman" w:eastAsia="方正仿宋简体" w:cs="Times New Roman"/>
          <w:b/>
          <w:sz w:val="32"/>
          <w:szCs w:val="32"/>
        </w:rPr>
        <w:t>如表中无数据，请作说明，</w:t>
      </w:r>
      <w:r>
        <w:rPr>
          <w:rFonts w:ascii="Times New Roman" w:hAnsi="Times New Roman" w:eastAsia="方正仿宋简体" w:cs="Times New Roman"/>
          <w:b/>
          <w:color w:val="FF0000"/>
          <w:sz w:val="32"/>
          <w:szCs w:val="32"/>
        </w:rPr>
        <w:t>千万不能删除空表。</w:t>
      </w:r>
    </w:p>
    <w:p>
      <w:pPr>
        <w:spacing w:line="556" w:lineRule="exact"/>
        <w:jc w:val="left"/>
        <w:rPr>
          <w:rFonts w:ascii="Times New Roman" w:hAnsi="Times New Roman" w:eastAsia="方正仿宋简体" w:cs="Times New Roman"/>
          <w:sz w:val="32"/>
          <w:szCs w:val="32"/>
        </w:rPr>
      </w:pPr>
      <w:r>
        <w:rPr>
          <w:rFonts w:ascii="Times New Roman" w:hAnsi="Times New Roman" w:eastAsia="方正仿宋简体" w:cs="Times New Roman"/>
          <w:b/>
          <w:sz w:val="32"/>
          <w:szCs w:val="32"/>
        </w:rPr>
        <w:t>例如：</w:t>
      </w:r>
      <w:r>
        <w:rPr>
          <w:rFonts w:ascii="Times New Roman" w:hAnsi="Times New Roman" w:eastAsia="方正仿宋简体" w:cs="Times New Roman"/>
          <w:sz w:val="32"/>
          <w:szCs w:val="32"/>
        </w:rPr>
        <w:t>表8无数据，***单位没有政府性基金收入，也没有政府性基金安排的支出，故本表无数据。</w:t>
      </w:r>
    </w:p>
    <w:p>
      <w:pPr>
        <w:spacing w:line="556" w:lineRule="exact"/>
        <w:ind w:firstLine="640"/>
        <w:jc w:val="left"/>
        <w:rPr>
          <w:rFonts w:ascii="Times New Roman" w:hAnsi="Times New Roman" w:eastAsia="方正仿宋简体" w:cs="Times New Roman"/>
          <w:sz w:val="32"/>
          <w:szCs w:val="32"/>
        </w:rPr>
      </w:pPr>
    </w:p>
    <w:p>
      <w:pPr>
        <w:spacing w:line="556" w:lineRule="exact"/>
        <w:jc w:val="center"/>
        <w:rPr>
          <w:rFonts w:ascii="方正小标宋简体" w:hAnsi="Times New Roman" w:eastAsia="方正小标宋简体" w:cs="Times New Roman"/>
          <w:sz w:val="44"/>
          <w:szCs w:val="44"/>
        </w:rPr>
      </w:pPr>
    </w:p>
    <w:p>
      <w:pPr>
        <w:numPr>
          <w:ilvl w:val="0"/>
          <w:numId w:val="1"/>
        </w:numPr>
        <w:spacing w:line="556" w:lineRule="exact"/>
        <w:ind w:left="0" w:leftChars="0" w:firstLine="0" w:firstLineChars="0"/>
        <w:jc w:val="center"/>
        <w:rPr>
          <w:rFonts w:hint="eastAsia" w:ascii="方正小标宋简体" w:hAnsi="Times New Roman" w:eastAsia="方正小标宋简体" w:cs="Times New Roman"/>
          <w:sz w:val="44"/>
          <w:szCs w:val="44"/>
        </w:rPr>
      </w:pPr>
      <w:r>
        <w:rPr>
          <w:rFonts w:hint="eastAsia" w:ascii="方正小标宋简体" w:hAnsi="Times New Roman" w:eastAsia="方正小标宋简体" w:cs="Times New Roman"/>
          <w:sz w:val="44"/>
          <w:szCs w:val="44"/>
        </w:rPr>
        <w:t xml:space="preserve">  益阳市城市管理行政执法局</w:t>
      </w:r>
    </w:p>
    <w:p>
      <w:pPr>
        <w:numPr>
          <w:numId w:val="0"/>
        </w:numPr>
        <w:spacing w:line="556" w:lineRule="exact"/>
        <w:ind w:leftChars="0"/>
        <w:jc w:val="both"/>
        <w:rPr>
          <w:rFonts w:ascii="方正小标宋简体" w:hAnsi="Times New Roman" w:eastAsia="方正小标宋简体" w:cs="Times New Roman"/>
          <w:sz w:val="44"/>
          <w:szCs w:val="44"/>
        </w:rPr>
      </w:pPr>
      <w:bookmarkStart w:id="0" w:name="_GoBack"/>
      <w:bookmarkEnd w:id="0"/>
      <w:r>
        <w:rPr>
          <w:rFonts w:hint="eastAsia" w:ascii="方正小标宋简体" w:hAnsi="Times New Roman" w:eastAsia="方正小标宋简体" w:cs="Times New Roman"/>
          <w:sz w:val="44"/>
          <w:szCs w:val="44"/>
          <w:lang w:eastAsia="zh-CN"/>
        </w:rPr>
        <w:t>（机关）</w:t>
      </w:r>
      <w:r>
        <w:rPr>
          <w:rFonts w:hint="eastAsia" w:ascii="方正小标宋简体" w:hAnsi="Times New Roman" w:eastAsia="方正小标宋简体" w:cs="Times New Roman"/>
          <w:sz w:val="44"/>
          <w:szCs w:val="44"/>
        </w:rPr>
        <w:t>2018 年度部门决算情况说明</w:t>
      </w:r>
    </w:p>
    <w:p>
      <w:pPr>
        <w:spacing w:line="556" w:lineRule="exact"/>
        <w:ind w:firstLine="640"/>
        <w:jc w:val="left"/>
        <w:rPr>
          <w:rFonts w:ascii="Times New Roman" w:hAnsi="Times New Roman" w:eastAsia="方正仿宋简体" w:cs="Times New Roman"/>
          <w:sz w:val="32"/>
          <w:szCs w:val="32"/>
        </w:rPr>
      </w:pPr>
    </w:p>
    <w:p>
      <w:pPr>
        <w:spacing w:line="556" w:lineRule="exact"/>
        <w:ind w:firstLine="640"/>
        <w:jc w:val="left"/>
        <w:rPr>
          <w:rFonts w:ascii="Times New Roman" w:hAnsi="Times New Roman" w:eastAsia="方正仿宋简体" w:cs="Times New Roman"/>
          <w:b/>
          <w:sz w:val="32"/>
          <w:szCs w:val="32"/>
        </w:rPr>
      </w:pPr>
      <w:r>
        <w:rPr>
          <w:rFonts w:ascii="Times New Roman" w:hAnsi="Times New Roman" w:eastAsia="方正仿宋简体" w:cs="Times New Roman"/>
          <w:b/>
          <w:sz w:val="32"/>
          <w:szCs w:val="32"/>
        </w:rPr>
        <w:t>一、关于益阳市城市管理行政执法局2018 年度收入支出决算总体情况说明</w:t>
      </w:r>
    </w:p>
    <w:p>
      <w:pPr>
        <w:spacing w:line="556" w:lineRule="exact"/>
        <w:ind w:firstLine="640"/>
        <w:jc w:val="left"/>
        <w:rPr>
          <w:rFonts w:ascii="Times New Roman" w:hAnsi="Times New Roman" w:eastAsia="方正仿宋简体" w:cs="Times New Roman"/>
          <w:sz w:val="32"/>
          <w:szCs w:val="32"/>
        </w:rPr>
      </w:pPr>
      <w:r>
        <w:rPr>
          <w:rFonts w:ascii="Times New Roman" w:hAnsi="Times New Roman" w:eastAsia="方正仿宋简体" w:cs="Times New Roman"/>
          <w:sz w:val="32"/>
          <w:szCs w:val="32"/>
        </w:rPr>
        <w:t>益阳市城市管理行政执法局2018年度收入总计</w:t>
      </w:r>
      <w:r>
        <w:rPr>
          <w:rFonts w:hint="eastAsia" w:ascii="Times New Roman" w:hAnsi="Times New Roman" w:eastAsia="方正仿宋简体" w:cs="Times New Roman"/>
          <w:sz w:val="32"/>
          <w:szCs w:val="32"/>
        </w:rPr>
        <w:t>5141.85</w:t>
      </w:r>
      <w:r>
        <w:rPr>
          <w:rFonts w:ascii="Times New Roman" w:hAnsi="Times New Roman" w:eastAsia="方正仿宋简体" w:cs="Times New Roman"/>
          <w:sz w:val="32"/>
          <w:szCs w:val="32"/>
        </w:rPr>
        <w:t>万元，比上年同期</w:t>
      </w:r>
      <w:r>
        <w:rPr>
          <w:rFonts w:hint="eastAsia" w:ascii="Times New Roman" w:hAnsi="Times New Roman" w:eastAsia="方正仿宋简体" w:cs="Times New Roman"/>
          <w:sz w:val="32"/>
          <w:szCs w:val="32"/>
        </w:rPr>
        <w:t>减少1371.32</w:t>
      </w:r>
      <w:r>
        <w:rPr>
          <w:rFonts w:ascii="Times New Roman" w:hAnsi="Times New Roman" w:eastAsia="方正仿宋简体" w:cs="Times New Roman"/>
          <w:sz w:val="32"/>
          <w:szCs w:val="32"/>
        </w:rPr>
        <w:t>万元，</w:t>
      </w:r>
      <w:r>
        <w:rPr>
          <w:rFonts w:hint="eastAsia" w:ascii="Times New Roman" w:hAnsi="Times New Roman" w:eastAsia="方正仿宋简体" w:cs="Times New Roman"/>
          <w:sz w:val="32"/>
          <w:szCs w:val="32"/>
        </w:rPr>
        <w:t>减少21.05</w:t>
      </w:r>
      <w:r>
        <w:rPr>
          <w:rFonts w:ascii="Times New Roman" w:hAnsi="Times New Roman" w:eastAsia="方正仿宋简体" w:cs="Times New Roman"/>
          <w:sz w:val="32"/>
          <w:szCs w:val="32"/>
        </w:rPr>
        <w:t>%；支出总计</w:t>
      </w:r>
      <w:r>
        <w:rPr>
          <w:rFonts w:hint="eastAsia" w:ascii="Times New Roman" w:hAnsi="Times New Roman" w:eastAsia="方正仿宋简体" w:cs="Times New Roman"/>
          <w:sz w:val="32"/>
          <w:szCs w:val="32"/>
        </w:rPr>
        <w:t>5141.85</w:t>
      </w:r>
      <w:r>
        <w:rPr>
          <w:rFonts w:ascii="Times New Roman" w:hAnsi="Times New Roman" w:eastAsia="方正仿宋简体" w:cs="Times New Roman"/>
          <w:sz w:val="32"/>
          <w:szCs w:val="32"/>
        </w:rPr>
        <w:t>万元，比上年同期</w:t>
      </w:r>
      <w:r>
        <w:rPr>
          <w:rFonts w:hint="eastAsia" w:ascii="Times New Roman" w:hAnsi="Times New Roman" w:eastAsia="方正仿宋简体" w:cs="Times New Roman"/>
          <w:sz w:val="32"/>
          <w:szCs w:val="32"/>
        </w:rPr>
        <w:t>减少1371.32</w:t>
      </w:r>
      <w:r>
        <w:rPr>
          <w:rFonts w:ascii="Times New Roman" w:hAnsi="Times New Roman" w:eastAsia="方正仿宋简体" w:cs="Times New Roman"/>
          <w:sz w:val="32"/>
          <w:szCs w:val="32"/>
        </w:rPr>
        <w:t>万元，</w:t>
      </w:r>
      <w:r>
        <w:rPr>
          <w:rFonts w:hint="eastAsia" w:ascii="Times New Roman" w:hAnsi="Times New Roman" w:eastAsia="方正仿宋简体" w:cs="Times New Roman"/>
          <w:sz w:val="32"/>
          <w:szCs w:val="32"/>
        </w:rPr>
        <w:t>减少21.05</w:t>
      </w:r>
      <w:r>
        <w:rPr>
          <w:rFonts w:ascii="Times New Roman" w:hAnsi="Times New Roman" w:eastAsia="方正仿宋简体" w:cs="Times New Roman"/>
          <w:sz w:val="32"/>
          <w:szCs w:val="32"/>
        </w:rPr>
        <w:t>%。主要原因：1、收入类：2018年度财政拨款收入比上年同期</w:t>
      </w:r>
      <w:r>
        <w:rPr>
          <w:rFonts w:hint="eastAsia" w:ascii="Times New Roman" w:hAnsi="Times New Roman" w:eastAsia="方正仿宋简体" w:cs="Times New Roman"/>
          <w:sz w:val="32"/>
          <w:szCs w:val="32"/>
        </w:rPr>
        <w:t>减少702.88</w:t>
      </w:r>
      <w:r>
        <w:rPr>
          <w:rFonts w:ascii="Times New Roman" w:hAnsi="Times New Roman" w:eastAsia="方正仿宋简体" w:cs="Times New Roman"/>
          <w:sz w:val="32"/>
          <w:szCs w:val="32"/>
        </w:rPr>
        <w:t>万元，</w:t>
      </w:r>
      <w:r>
        <w:rPr>
          <w:rFonts w:hint="eastAsia" w:ascii="Times New Roman" w:hAnsi="Times New Roman" w:eastAsia="方正仿宋简体" w:cs="Times New Roman"/>
          <w:sz w:val="32"/>
          <w:szCs w:val="32"/>
        </w:rPr>
        <w:t>减少</w:t>
      </w:r>
      <w:r>
        <w:rPr>
          <w:rFonts w:ascii="Times New Roman" w:hAnsi="Times New Roman" w:eastAsia="方正仿宋简体" w:cs="Times New Roman"/>
          <w:sz w:val="32"/>
          <w:szCs w:val="32"/>
        </w:rPr>
        <w:t>比例</w:t>
      </w:r>
      <w:r>
        <w:rPr>
          <w:rFonts w:hint="eastAsia" w:ascii="Times New Roman" w:hAnsi="Times New Roman" w:eastAsia="方正仿宋简体" w:cs="Times New Roman"/>
          <w:sz w:val="32"/>
          <w:szCs w:val="32"/>
        </w:rPr>
        <w:t>18.53</w:t>
      </w:r>
      <w:r>
        <w:rPr>
          <w:rFonts w:ascii="Times New Roman" w:hAnsi="Times New Roman" w:eastAsia="方正仿宋简体" w:cs="Times New Roman"/>
          <w:sz w:val="32"/>
          <w:szCs w:val="32"/>
        </w:rPr>
        <w:t>%；其他收入比上年同期</w:t>
      </w:r>
      <w:r>
        <w:rPr>
          <w:rFonts w:hint="eastAsia" w:ascii="Times New Roman" w:hAnsi="Times New Roman" w:eastAsia="方正仿宋简体" w:cs="Times New Roman"/>
          <w:sz w:val="32"/>
          <w:szCs w:val="32"/>
        </w:rPr>
        <w:t>减少311.31</w:t>
      </w:r>
      <w:r>
        <w:rPr>
          <w:rFonts w:ascii="Times New Roman" w:hAnsi="Times New Roman" w:eastAsia="方正仿宋简体" w:cs="Times New Roman"/>
          <w:sz w:val="32"/>
          <w:szCs w:val="32"/>
        </w:rPr>
        <w:t>万元，</w:t>
      </w:r>
      <w:r>
        <w:rPr>
          <w:rFonts w:hint="eastAsia" w:ascii="Times New Roman" w:hAnsi="Times New Roman" w:eastAsia="方正仿宋简体" w:cs="Times New Roman"/>
          <w:sz w:val="32"/>
          <w:szCs w:val="32"/>
        </w:rPr>
        <w:t>减少13.28</w:t>
      </w:r>
      <w:r>
        <w:rPr>
          <w:rFonts w:ascii="Times New Roman" w:hAnsi="Times New Roman" w:eastAsia="方正仿宋简体" w:cs="Times New Roman"/>
          <w:sz w:val="32"/>
          <w:szCs w:val="32"/>
        </w:rPr>
        <w:t>%；年初结转和结余比上年同期减少</w:t>
      </w:r>
      <w:r>
        <w:rPr>
          <w:rFonts w:hint="eastAsia" w:ascii="Times New Roman" w:hAnsi="Times New Roman" w:eastAsia="方正仿宋简体" w:cs="Times New Roman"/>
          <w:sz w:val="32"/>
          <w:szCs w:val="32"/>
        </w:rPr>
        <w:t>357.13</w:t>
      </w:r>
      <w:r>
        <w:rPr>
          <w:rFonts w:ascii="Times New Roman" w:hAnsi="Times New Roman" w:eastAsia="方正仿宋简体" w:cs="Times New Roman"/>
          <w:sz w:val="32"/>
          <w:szCs w:val="32"/>
        </w:rPr>
        <w:t>万元，减少</w:t>
      </w:r>
      <w:r>
        <w:rPr>
          <w:rFonts w:hint="eastAsia" w:ascii="Times New Roman" w:hAnsi="Times New Roman" w:eastAsia="方正仿宋简体" w:cs="Times New Roman"/>
          <w:sz w:val="32"/>
          <w:szCs w:val="32"/>
        </w:rPr>
        <w:t>95.41</w:t>
      </w:r>
      <w:r>
        <w:rPr>
          <w:rFonts w:ascii="Times New Roman" w:hAnsi="Times New Roman" w:eastAsia="方正仿宋简体" w:cs="Times New Roman"/>
          <w:sz w:val="32"/>
          <w:szCs w:val="32"/>
        </w:rPr>
        <w:t>%。支出类：2018年度社会保障和就业支出</w:t>
      </w:r>
      <w:r>
        <w:rPr>
          <w:rFonts w:hint="eastAsia" w:ascii="Times New Roman" w:hAnsi="Times New Roman" w:eastAsia="方正仿宋简体" w:cs="Times New Roman"/>
          <w:sz w:val="32"/>
          <w:szCs w:val="32"/>
        </w:rPr>
        <w:t>增加63.53</w:t>
      </w:r>
      <w:r>
        <w:rPr>
          <w:rFonts w:ascii="Times New Roman" w:hAnsi="Times New Roman" w:eastAsia="方正仿宋简体" w:cs="Times New Roman"/>
          <w:sz w:val="32"/>
          <w:szCs w:val="32"/>
        </w:rPr>
        <w:t>万元，增长</w:t>
      </w:r>
      <w:r>
        <w:rPr>
          <w:rFonts w:hint="eastAsia" w:ascii="Times New Roman" w:hAnsi="Times New Roman" w:eastAsia="方正仿宋简体" w:cs="Times New Roman"/>
          <w:sz w:val="32"/>
          <w:szCs w:val="32"/>
        </w:rPr>
        <w:t>25.45</w:t>
      </w:r>
      <w:r>
        <w:rPr>
          <w:rFonts w:ascii="Times New Roman" w:hAnsi="Times New Roman" w:eastAsia="方正仿宋简体" w:cs="Times New Roman"/>
          <w:sz w:val="32"/>
          <w:szCs w:val="32"/>
        </w:rPr>
        <w:t>%；医疗卫生与计划生育支出减少</w:t>
      </w:r>
      <w:r>
        <w:rPr>
          <w:rFonts w:hint="eastAsia" w:ascii="Times New Roman" w:hAnsi="Times New Roman" w:eastAsia="方正仿宋简体" w:cs="Times New Roman"/>
          <w:sz w:val="32"/>
          <w:szCs w:val="32"/>
        </w:rPr>
        <w:t>38.56</w:t>
      </w:r>
      <w:r>
        <w:rPr>
          <w:rFonts w:ascii="Times New Roman" w:hAnsi="Times New Roman" w:eastAsia="方正仿宋简体" w:cs="Times New Roman"/>
          <w:sz w:val="32"/>
          <w:szCs w:val="32"/>
        </w:rPr>
        <w:t>万元，减少</w:t>
      </w:r>
      <w:r>
        <w:rPr>
          <w:rFonts w:hint="eastAsia" w:ascii="Times New Roman" w:hAnsi="Times New Roman" w:eastAsia="方正仿宋简体" w:cs="Times New Roman"/>
          <w:sz w:val="32"/>
          <w:szCs w:val="32"/>
        </w:rPr>
        <w:t>33.59</w:t>
      </w:r>
      <w:r>
        <w:rPr>
          <w:rFonts w:ascii="Times New Roman" w:hAnsi="Times New Roman" w:eastAsia="方正仿宋简体" w:cs="Times New Roman"/>
          <w:sz w:val="32"/>
          <w:szCs w:val="32"/>
        </w:rPr>
        <w:t>%；城乡社区支出</w:t>
      </w:r>
      <w:r>
        <w:rPr>
          <w:rFonts w:hint="eastAsia" w:ascii="Times New Roman" w:hAnsi="Times New Roman" w:eastAsia="方正仿宋简体" w:cs="Times New Roman"/>
          <w:sz w:val="32"/>
          <w:szCs w:val="32"/>
        </w:rPr>
        <w:t>减少1691.98</w:t>
      </w:r>
      <w:r>
        <w:rPr>
          <w:rFonts w:ascii="Times New Roman" w:hAnsi="Times New Roman" w:eastAsia="方正仿宋简体" w:cs="Times New Roman"/>
          <w:sz w:val="32"/>
          <w:szCs w:val="32"/>
        </w:rPr>
        <w:t>万元，</w:t>
      </w:r>
      <w:r>
        <w:rPr>
          <w:rFonts w:hint="eastAsia" w:ascii="Times New Roman" w:hAnsi="Times New Roman" w:eastAsia="方正仿宋简体" w:cs="Times New Roman"/>
          <w:sz w:val="32"/>
          <w:szCs w:val="32"/>
        </w:rPr>
        <w:t>减少28.92</w:t>
      </w:r>
      <w:r>
        <w:rPr>
          <w:rFonts w:ascii="Times New Roman" w:hAnsi="Times New Roman" w:eastAsia="方正仿宋简体" w:cs="Times New Roman"/>
          <w:sz w:val="32"/>
          <w:szCs w:val="32"/>
        </w:rPr>
        <w:t>%；农林水支出</w:t>
      </w:r>
      <w:r>
        <w:rPr>
          <w:rFonts w:hint="eastAsia" w:ascii="Times New Roman" w:hAnsi="Times New Roman" w:eastAsia="方正仿宋简体" w:cs="Times New Roman"/>
          <w:sz w:val="32"/>
          <w:szCs w:val="32"/>
        </w:rPr>
        <w:t>减少39.4</w:t>
      </w:r>
      <w:r>
        <w:rPr>
          <w:rFonts w:ascii="Times New Roman" w:hAnsi="Times New Roman" w:eastAsia="方正仿宋简体" w:cs="Times New Roman"/>
          <w:sz w:val="32"/>
          <w:szCs w:val="32"/>
        </w:rPr>
        <w:t>万元，</w:t>
      </w:r>
      <w:r>
        <w:rPr>
          <w:rFonts w:hint="eastAsia" w:ascii="Times New Roman" w:hAnsi="Times New Roman" w:eastAsia="方正仿宋简体" w:cs="Times New Roman"/>
          <w:sz w:val="32"/>
          <w:szCs w:val="32"/>
        </w:rPr>
        <w:t>减少90.78</w:t>
      </w:r>
      <w:r>
        <w:rPr>
          <w:rFonts w:ascii="Times New Roman" w:hAnsi="Times New Roman" w:eastAsia="方正仿宋简体" w:cs="Times New Roman"/>
          <w:sz w:val="32"/>
          <w:szCs w:val="32"/>
        </w:rPr>
        <w:t>%；资源勘探信息等支出增加0.5万元，增长50%；住房保障支出增加</w:t>
      </w:r>
      <w:r>
        <w:rPr>
          <w:rFonts w:hint="eastAsia" w:ascii="Times New Roman" w:hAnsi="Times New Roman" w:eastAsia="方正仿宋简体" w:cs="Times New Roman"/>
          <w:sz w:val="32"/>
          <w:szCs w:val="32"/>
        </w:rPr>
        <w:t>12.44</w:t>
      </w:r>
      <w:r>
        <w:rPr>
          <w:rFonts w:ascii="Times New Roman" w:hAnsi="Times New Roman" w:eastAsia="方正仿宋简体" w:cs="Times New Roman"/>
          <w:sz w:val="32"/>
          <w:szCs w:val="32"/>
        </w:rPr>
        <w:t>万元，增长</w:t>
      </w:r>
      <w:r>
        <w:rPr>
          <w:rFonts w:hint="eastAsia" w:ascii="Times New Roman" w:hAnsi="Times New Roman" w:eastAsia="方正仿宋简体" w:cs="Times New Roman"/>
          <w:sz w:val="32"/>
          <w:szCs w:val="32"/>
        </w:rPr>
        <w:t>9.62</w:t>
      </w:r>
      <w:r>
        <w:rPr>
          <w:rFonts w:ascii="Times New Roman" w:hAnsi="Times New Roman" w:eastAsia="方正仿宋简体" w:cs="Times New Roman"/>
          <w:sz w:val="32"/>
          <w:szCs w:val="32"/>
        </w:rPr>
        <w:t>%；年末结转和结余增加</w:t>
      </w:r>
      <w:r>
        <w:rPr>
          <w:rFonts w:hint="eastAsia" w:ascii="Times New Roman" w:hAnsi="Times New Roman" w:eastAsia="方正仿宋简体" w:cs="Times New Roman"/>
          <w:sz w:val="32"/>
          <w:szCs w:val="32"/>
        </w:rPr>
        <w:t>322.15</w:t>
      </w:r>
      <w:r>
        <w:rPr>
          <w:rFonts w:ascii="Times New Roman" w:hAnsi="Times New Roman" w:eastAsia="方正仿宋简体" w:cs="Times New Roman"/>
          <w:sz w:val="32"/>
          <w:szCs w:val="32"/>
        </w:rPr>
        <w:t>万元，增加</w:t>
      </w:r>
      <w:r>
        <w:rPr>
          <w:rFonts w:hint="eastAsia" w:ascii="Times New Roman" w:hAnsi="Times New Roman" w:eastAsia="方正仿宋简体" w:cs="Times New Roman"/>
          <w:sz w:val="32"/>
          <w:szCs w:val="32"/>
        </w:rPr>
        <w:t>257.37</w:t>
      </w:r>
      <w:r>
        <w:rPr>
          <w:rFonts w:ascii="Times New Roman" w:hAnsi="Times New Roman" w:eastAsia="方正仿宋简体" w:cs="Times New Roman"/>
          <w:sz w:val="32"/>
          <w:szCs w:val="32"/>
        </w:rPr>
        <w:t>%。</w:t>
      </w:r>
    </w:p>
    <w:p>
      <w:pPr>
        <w:spacing w:line="556" w:lineRule="exact"/>
        <w:ind w:firstLine="640"/>
        <w:jc w:val="left"/>
        <w:rPr>
          <w:rFonts w:ascii="Times New Roman" w:hAnsi="Times New Roman" w:eastAsia="方正仿宋简体" w:cs="Times New Roman"/>
          <w:sz w:val="32"/>
          <w:szCs w:val="32"/>
        </w:rPr>
      </w:pPr>
    </w:p>
    <w:p>
      <w:pPr>
        <w:spacing w:line="556" w:lineRule="exact"/>
        <w:ind w:firstLine="482" w:firstLineChars="150"/>
        <w:jc w:val="left"/>
        <w:rPr>
          <w:rFonts w:ascii="Times New Roman" w:hAnsi="Times New Roman" w:eastAsia="方正仿宋简体" w:cs="Times New Roman"/>
          <w:b/>
          <w:sz w:val="32"/>
          <w:szCs w:val="32"/>
        </w:rPr>
      </w:pPr>
      <w:r>
        <w:rPr>
          <w:rFonts w:ascii="Times New Roman" w:hAnsi="Times New Roman" w:eastAsia="方正仿宋简体" w:cs="Times New Roman"/>
          <w:b/>
          <w:sz w:val="32"/>
          <w:szCs w:val="32"/>
        </w:rPr>
        <w:t>二、关于益阳市城市管理行政执法局2018 年度收入决算情况说明</w:t>
      </w:r>
    </w:p>
    <w:p>
      <w:pPr>
        <w:spacing w:line="556" w:lineRule="exact"/>
        <w:ind w:firstLine="640"/>
        <w:jc w:val="left"/>
        <w:rPr>
          <w:rFonts w:ascii="Times New Roman" w:hAnsi="Times New Roman" w:eastAsia="方正仿宋简体" w:cs="Times New Roman"/>
          <w:sz w:val="32"/>
          <w:szCs w:val="32"/>
        </w:rPr>
      </w:pPr>
      <w:r>
        <w:rPr>
          <w:rFonts w:ascii="Times New Roman" w:hAnsi="Times New Roman" w:eastAsia="方正仿宋简体" w:cs="Times New Roman"/>
          <w:sz w:val="32"/>
          <w:szCs w:val="32"/>
        </w:rPr>
        <w:t>2018年度收入合计</w:t>
      </w:r>
      <w:r>
        <w:rPr>
          <w:rFonts w:hint="eastAsia" w:ascii="Times New Roman" w:hAnsi="Times New Roman" w:eastAsia="方正仿宋简体" w:cs="Times New Roman"/>
          <w:sz w:val="32"/>
          <w:szCs w:val="32"/>
        </w:rPr>
        <w:t>5141.85</w:t>
      </w:r>
      <w:r>
        <w:rPr>
          <w:rFonts w:ascii="Times New Roman" w:hAnsi="Times New Roman" w:eastAsia="方正仿宋简体" w:cs="Times New Roman"/>
          <w:sz w:val="32"/>
          <w:szCs w:val="32"/>
        </w:rPr>
        <w:t>万元，其中：财政拨款收入</w:t>
      </w:r>
      <w:r>
        <w:rPr>
          <w:rFonts w:hint="eastAsia" w:ascii="Times New Roman" w:hAnsi="Times New Roman" w:eastAsia="方正仿宋简体" w:cs="Times New Roman"/>
          <w:sz w:val="32"/>
          <w:szCs w:val="32"/>
        </w:rPr>
        <w:t>3091.25</w:t>
      </w:r>
      <w:r>
        <w:rPr>
          <w:rFonts w:ascii="Times New Roman" w:hAnsi="Times New Roman" w:eastAsia="方正仿宋简体" w:cs="Times New Roman"/>
          <w:sz w:val="32"/>
          <w:szCs w:val="32"/>
        </w:rPr>
        <w:t>万元，占</w:t>
      </w:r>
      <w:r>
        <w:rPr>
          <w:rFonts w:hint="eastAsia" w:ascii="Times New Roman" w:hAnsi="Times New Roman" w:eastAsia="方正仿宋简体" w:cs="Times New Roman"/>
          <w:sz w:val="32"/>
          <w:szCs w:val="32"/>
        </w:rPr>
        <w:t>60.12</w:t>
      </w:r>
      <w:r>
        <w:rPr>
          <w:rFonts w:ascii="Times New Roman" w:hAnsi="Times New Roman" w:eastAsia="方正仿宋简体" w:cs="Times New Roman"/>
          <w:sz w:val="32"/>
          <w:szCs w:val="32"/>
        </w:rPr>
        <w:t>%；其他收入</w:t>
      </w:r>
      <w:r>
        <w:rPr>
          <w:rFonts w:hint="eastAsia" w:ascii="Times New Roman" w:hAnsi="Times New Roman" w:eastAsia="方正仿宋简体" w:cs="Times New Roman"/>
          <w:sz w:val="32"/>
          <w:szCs w:val="32"/>
        </w:rPr>
        <w:t>2033.43</w:t>
      </w:r>
      <w:r>
        <w:rPr>
          <w:rFonts w:ascii="Times New Roman" w:hAnsi="Times New Roman" w:eastAsia="方正仿宋简体" w:cs="Times New Roman"/>
          <w:sz w:val="32"/>
          <w:szCs w:val="32"/>
        </w:rPr>
        <w:t>万元，占</w:t>
      </w:r>
      <w:r>
        <w:rPr>
          <w:rFonts w:hint="eastAsia" w:ascii="Times New Roman" w:hAnsi="Times New Roman" w:eastAsia="方正仿宋简体" w:cs="Times New Roman"/>
          <w:sz w:val="32"/>
          <w:szCs w:val="32"/>
        </w:rPr>
        <w:t>39.55</w:t>
      </w:r>
      <w:r>
        <w:rPr>
          <w:rFonts w:ascii="Times New Roman" w:hAnsi="Times New Roman" w:eastAsia="方正仿宋简体" w:cs="Times New Roman"/>
          <w:sz w:val="32"/>
          <w:szCs w:val="32"/>
        </w:rPr>
        <w:t xml:space="preserve">%。 </w:t>
      </w:r>
    </w:p>
    <w:p>
      <w:pPr>
        <w:spacing w:line="556" w:lineRule="exact"/>
        <w:jc w:val="left"/>
        <w:rPr>
          <w:rFonts w:ascii="Times New Roman" w:hAnsi="Times New Roman" w:eastAsia="方正仿宋简体" w:cs="Times New Roman"/>
          <w:sz w:val="32"/>
          <w:szCs w:val="32"/>
        </w:rPr>
      </w:pPr>
    </w:p>
    <w:p>
      <w:pPr>
        <w:spacing w:line="556" w:lineRule="exact"/>
        <w:ind w:firstLine="482" w:firstLineChars="150"/>
        <w:jc w:val="left"/>
        <w:rPr>
          <w:rFonts w:ascii="Times New Roman" w:hAnsi="Times New Roman" w:eastAsia="方正仿宋简体" w:cs="Times New Roman"/>
          <w:b/>
          <w:sz w:val="32"/>
          <w:szCs w:val="32"/>
        </w:rPr>
      </w:pPr>
      <w:r>
        <w:rPr>
          <w:rFonts w:ascii="Times New Roman" w:hAnsi="Times New Roman" w:eastAsia="方正仿宋简体" w:cs="Times New Roman"/>
          <w:b/>
          <w:sz w:val="32"/>
          <w:szCs w:val="32"/>
        </w:rPr>
        <w:t>三、关于益阳市城市管理行政执法局2018年度支出决算情况说明</w:t>
      </w:r>
    </w:p>
    <w:p>
      <w:pPr>
        <w:spacing w:line="556" w:lineRule="exact"/>
        <w:ind w:firstLine="640"/>
        <w:jc w:val="left"/>
        <w:rPr>
          <w:rFonts w:ascii="Times New Roman" w:hAnsi="Times New Roman" w:eastAsia="方正仿宋简体" w:cs="Times New Roman"/>
          <w:sz w:val="32"/>
          <w:szCs w:val="32"/>
        </w:rPr>
      </w:pPr>
      <w:r>
        <w:rPr>
          <w:rFonts w:ascii="Times New Roman" w:hAnsi="Times New Roman" w:eastAsia="方正仿宋简体" w:cs="Times New Roman"/>
          <w:sz w:val="32"/>
          <w:szCs w:val="32"/>
        </w:rPr>
        <w:t>2018年度支出合计</w:t>
      </w:r>
      <w:r>
        <w:rPr>
          <w:rFonts w:hint="eastAsia" w:ascii="Times New Roman" w:hAnsi="Times New Roman" w:eastAsia="方正仿宋简体" w:cs="Times New Roman"/>
          <w:sz w:val="32"/>
          <w:szCs w:val="32"/>
        </w:rPr>
        <w:t>4694.53</w:t>
      </w:r>
      <w:r>
        <w:rPr>
          <w:rFonts w:ascii="Times New Roman" w:hAnsi="Times New Roman" w:eastAsia="方正仿宋简体" w:cs="Times New Roman"/>
          <w:sz w:val="32"/>
          <w:szCs w:val="32"/>
        </w:rPr>
        <w:t>万元，其中：基本支出</w:t>
      </w:r>
      <w:r>
        <w:rPr>
          <w:rFonts w:hint="eastAsia" w:ascii="Times New Roman" w:hAnsi="Times New Roman" w:eastAsia="方正仿宋简体" w:cs="Times New Roman"/>
          <w:sz w:val="32"/>
          <w:szCs w:val="32"/>
        </w:rPr>
        <w:t>2520.24</w:t>
      </w:r>
      <w:r>
        <w:rPr>
          <w:rFonts w:ascii="Times New Roman" w:hAnsi="Times New Roman" w:eastAsia="方正仿宋简体" w:cs="Times New Roman"/>
          <w:sz w:val="32"/>
          <w:szCs w:val="32"/>
        </w:rPr>
        <w:t>万元，占</w:t>
      </w:r>
      <w:r>
        <w:rPr>
          <w:rFonts w:hint="eastAsia" w:ascii="Times New Roman" w:hAnsi="Times New Roman" w:eastAsia="方正仿宋简体" w:cs="Times New Roman"/>
          <w:sz w:val="32"/>
          <w:szCs w:val="32"/>
        </w:rPr>
        <w:t>53.68</w:t>
      </w:r>
      <w:r>
        <w:rPr>
          <w:rFonts w:ascii="Times New Roman" w:hAnsi="Times New Roman" w:eastAsia="方正仿宋简体" w:cs="Times New Roman"/>
          <w:sz w:val="32"/>
          <w:szCs w:val="32"/>
        </w:rPr>
        <w:t>%；项目支出</w:t>
      </w:r>
      <w:r>
        <w:rPr>
          <w:rFonts w:hint="eastAsia" w:ascii="Times New Roman" w:hAnsi="Times New Roman" w:eastAsia="方正仿宋简体" w:cs="Times New Roman"/>
          <w:sz w:val="32"/>
          <w:szCs w:val="32"/>
        </w:rPr>
        <w:t>2174.29</w:t>
      </w:r>
      <w:r>
        <w:rPr>
          <w:rFonts w:ascii="Times New Roman" w:hAnsi="Times New Roman" w:eastAsia="方正仿宋简体" w:cs="Times New Roman"/>
          <w:sz w:val="32"/>
          <w:szCs w:val="32"/>
        </w:rPr>
        <w:t xml:space="preserve"> 万元，占</w:t>
      </w:r>
      <w:r>
        <w:rPr>
          <w:rFonts w:hint="eastAsia" w:ascii="Times New Roman" w:hAnsi="Times New Roman" w:eastAsia="方正仿宋简体" w:cs="Times New Roman"/>
          <w:sz w:val="32"/>
          <w:szCs w:val="32"/>
        </w:rPr>
        <w:t>46.32</w:t>
      </w:r>
      <w:r>
        <w:rPr>
          <w:rFonts w:ascii="Times New Roman" w:hAnsi="Times New Roman" w:eastAsia="方正仿宋简体" w:cs="Times New Roman"/>
          <w:sz w:val="32"/>
          <w:szCs w:val="32"/>
        </w:rPr>
        <w:t>%。</w:t>
      </w:r>
    </w:p>
    <w:p>
      <w:pPr>
        <w:spacing w:line="556" w:lineRule="exact"/>
        <w:ind w:firstLine="640"/>
        <w:jc w:val="left"/>
        <w:rPr>
          <w:rFonts w:ascii="Times New Roman" w:hAnsi="Times New Roman" w:eastAsia="方正仿宋简体" w:cs="Times New Roman"/>
          <w:sz w:val="32"/>
          <w:szCs w:val="32"/>
        </w:rPr>
      </w:pPr>
    </w:p>
    <w:p>
      <w:pPr>
        <w:spacing w:line="556" w:lineRule="exact"/>
        <w:ind w:firstLine="640"/>
        <w:jc w:val="left"/>
        <w:rPr>
          <w:rFonts w:ascii="Times New Roman" w:hAnsi="Times New Roman" w:eastAsia="方正仿宋简体" w:cs="Times New Roman"/>
          <w:b/>
          <w:sz w:val="32"/>
          <w:szCs w:val="32"/>
        </w:rPr>
      </w:pPr>
      <w:r>
        <w:rPr>
          <w:rFonts w:ascii="Times New Roman" w:hAnsi="Times New Roman" w:eastAsia="方正仿宋简体" w:cs="Times New Roman"/>
          <w:b/>
          <w:sz w:val="32"/>
          <w:szCs w:val="32"/>
        </w:rPr>
        <w:t xml:space="preserve"> 四、关于益阳市城市管理行政执法局2018 年度财政拨款收入支出决算总体情况说明</w:t>
      </w:r>
    </w:p>
    <w:p>
      <w:pPr>
        <w:spacing w:line="556" w:lineRule="exact"/>
        <w:ind w:firstLine="640"/>
        <w:jc w:val="left"/>
        <w:rPr>
          <w:rFonts w:ascii="Times New Roman" w:hAnsi="Times New Roman" w:eastAsia="方正仿宋简体" w:cs="Times New Roman"/>
          <w:sz w:val="32"/>
          <w:szCs w:val="32"/>
        </w:rPr>
      </w:pPr>
      <w:r>
        <w:rPr>
          <w:rFonts w:ascii="Times New Roman" w:hAnsi="Times New Roman" w:eastAsia="方正仿宋简体" w:cs="Times New Roman"/>
          <w:sz w:val="32"/>
          <w:szCs w:val="32"/>
        </w:rPr>
        <w:t xml:space="preserve"> 2018 年度财政拨款收入总计</w:t>
      </w:r>
      <w:r>
        <w:rPr>
          <w:rFonts w:hint="eastAsia" w:ascii="Times New Roman" w:hAnsi="Times New Roman" w:eastAsia="方正仿宋简体" w:cs="Times New Roman"/>
          <w:sz w:val="32"/>
          <w:szCs w:val="32"/>
        </w:rPr>
        <w:t>3091.25</w:t>
      </w:r>
      <w:r>
        <w:rPr>
          <w:rFonts w:ascii="Times New Roman" w:hAnsi="Times New Roman" w:eastAsia="方正仿宋简体" w:cs="Times New Roman"/>
          <w:sz w:val="32"/>
          <w:szCs w:val="32"/>
        </w:rPr>
        <w:t>万元，比上年同期</w:t>
      </w:r>
      <w:r>
        <w:rPr>
          <w:rFonts w:hint="eastAsia" w:ascii="Times New Roman" w:hAnsi="Times New Roman" w:eastAsia="方正仿宋简体" w:cs="Times New Roman"/>
          <w:sz w:val="32"/>
          <w:szCs w:val="32"/>
        </w:rPr>
        <w:t>减少702.88</w:t>
      </w:r>
      <w:r>
        <w:rPr>
          <w:rFonts w:ascii="Times New Roman" w:hAnsi="Times New Roman" w:eastAsia="方正仿宋简体" w:cs="Times New Roman"/>
          <w:sz w:val="32"/>
          <w:szCs w:val="32"/>
        </w:rPr>
        <w:t>万元，</w:t>
      </w:r>
      <w:r>
        <w:rPr>
          <w:rFonts w:hint="eastAsia" w:ascii="Times New Roman" w:hAnsi="Times New Roman" w:eastAsia="方正仿宋简体" w:cs="Times New Roman"/>
          <w:sz w:val="32"/>
          <w:szCs w:val="32"/>
        </w:rPr>
        <w:t>减少18.53</w:t>
      </w:r>
      <w:r>
        <w:rPr>
          <w:rFonts w:ascii="Times New Roman" w:hAnsi="Times New Roman" w:eastAsia="方正仿宋简体" w:cs="Times New Roman"/>
          <w:sz w:val="32"/>
          <w:szCs w:val="32"/>
        </w:rPr>
        <w:t>%；财政拨款支出总计</w:t>
      </w:r>
      <w:r>
        <w:rPr>
          <w:rFonts w:hint="eastAsia" w:ascii="Times New Roman" w:hAnsi="Times New Roman" w:eastAsia="方正仿宋简体" w:cs="Times New Roman"/>
          <w:sz w:val="32"/>
          <w:szCs w:val="32"/>
        </w:rPr>
        <w:t>3091.25</w:t>
      </w:r>
      <w:r>
        <w:rPr>
          <w:rFonts w:ascii="Times New Roman" w:hAnsi="Times New Roman" w:eastAsia="方正仿宋简体" w:cs="Times New Roman"/>
          <w:sz w:val="32"/>
          <w:szCs w:val="32"/>
        </w:rPr>
        <w:t>万元，比上年同期</w:t>
      </w:r>
      <w:r>
        <w:rPr>
          <w:rFonts w:hint="eastAsia" w:ascii="Times New Roman" w:hAnsi="Times New Roman" w:eastAsia="方正仿宋简体" w:cs="Times New Roman"/>
          <w:sz w:val="32"/>
          <w:szCs w:val="32"/>
        </w:rPr>
        <w:t>减少702.88</w:t>
      </w:r>
      <w:r>
        <w:rPr>
          <w:rFonts w:ascii="Times New Roman" w:hAnsi="Times New Roman" w:eastAsia="方正仿宋简体" w:cs="Times New Roman"/>
          <w:sz w:val="32"/>
          <w:szCs w:val="32"/>
        </w:rPr>
        <w:t>万元，</w:t>
      </w:r>
      <w:r>
        <w:rPr>
          <w:rFonts w:hint="eastAsia" w:ascii="Times New Roman" w:hAnsi="Times New Roman" w:eastAsia="方正仿宋简体" w:cs="Times New Roman"/>
          <w:sz w:val="32"/>
          <w:szCs w:val="32"/>
        </w:rPr>
        <w:t>减少18.53</w:t>
      </w:r>
      <w:r>
        <w:rPr>
          <w:rFonts w:ascii="Times New Roman" w:hAnsi="Times New Roman" w:eastAsia="方正仿宋简体" w:cs="Times New Roman"/>
          <w:sz w:val="32"/>
          <w:szCs w:val="32"/>
        </w:rPr>
        <w:t>%。主要原因：</w:t>
      </w:r>
      <w:r>
        <w:rPr>
          <w:rFonts w:hint="eastAsia" w:ascii="Times New Roman" w:hAnsi="Times New Roman" w:eastAsia="方正仿宋简体" w:cs="Times New Roman"/>
          <w:sz w:val="32"/>
          <w:szCs w:val="32"/>
        </w:rPr>
        <w:t>项目支出减少</w:t>
      </w:r>
      <w:r>
        <w:rPr>
          <w:rFonts w:ascii="Times New Roman" w:hAnsi="Times New Roman" w:eastAsia="方正仿宋简体" w:cs="Times New Roman"/>
          <w:sz w:val="32"/>
          <w:szCs w:val="32"/>
        </w:rPr>
        <w:t>。</w:t>
      </w:r>
    </w:p>
    <w:p>
      <w:pPr>
        <w:spacing w:line="556" w:lineRule="exact"/>
        <w:jc w:val="left"/>
        <w:rPr>
          <w:rFonts w:ascii="Times New Roman" w:hAnsi="Times New Roman" w:eastAsia="方正仿宋简体" w:cs="Times New Roman"/>
          <w:sz w:val="32"/>
          <w:szCs w:val="32"/>
        </w:rPr>
      </w:pPr>
    </w:p>
    <w:p>
      <w:pPr>
        <w:spacing w:line="556" w:lineRule="exact"/>
        <w:ind w:firstLine="640"/>
        <w:jc w:val="left"/>
        <w:rPr>
          <w:rFonts w:ascii="Times New Roman" w:hAnsi="Times New Roman" w:eastAsia="方正仿宋简体" w:cs="Times New Roman"/>
          <w:b/>
          <w:sz w:val="32"/>
          <w:szCs w:val="32"/>
        </w:rPr>
      </w:pPr>
      <w:r>
        <w:rPr>
          <w:rFonts w:ascii="Times New Roman" w:hAnsi="Times New Roman" w:eastAsia="方正仿宋简体" w:cs="Times New Roman"/>
          <w:b/>
          <w:sz w:val="32"/>
          <w:szCs w:val="32"/>
        </w:rPr>
        <w:t>五、关于益阳市城市管理行政执法局2018 年度一般公共预算财政拨款收入支出决算情况说明</w:t>
      </w:r>
    </w:p>
    <w:p>
      <w:pPr>
        <w:spacing w:line="556" w:lineRule="exact"/>
        <w:ind w:firstLine="320"/>
        <w:jc w:val="left"/>
        <w:rPr>
          <w:rFonts w:ascii="Times New Roman" w:hAnsi="Times New Roman" w:eastAsia="方正仿宋简体" w:cs="Times New Roman"/>
          <w:sz w:val="32"/>
          <w:szCs w:val="32"/>
        </w:rPr>
      </w:pPr>
      <w:r>
        <w:rPr>
          <w:rFonts w:ascii="Times New Roman" w:hAnsi="Times New Roman" w:eastAsia="方正仿宋简体" w:cs="Times New Roman"/>
          <w:sz w:val="32"/>
          <w:szCs w:val="32"/>
        </w:rPr>
        <w:t>（一）一般公共预算财政拨款收入支出决算总体情况。</w:t>
      </w:r>
    </w:p>
    <w:p>
      <w:pPr>
        <w:spacing w:line="556" w:lineRule="exact"/>
        <w:ind w:firstLine="640"/>
        <w:jc w:val="left"/>
        <w:rPr>
          <w:rFonts w:ascii="Times New Roman" w:hAnsi="Times New Roman" w:eastAsia="方正仿宋简体" w:cs="Times New Roman"/>
          <w:sz w:val="32"/>
          <w:szCs w:val="32"/>
        </w:rPr>
      </w:pPr>
      <w:r>
        <w:rPr>
          <w:rFonts w:ascii="Times New Roman" w:hAnsi="Times New Roman" w:eastAsia="方正仿宋简体" w:cs="Times New Roman"/>
          <w:sz w:val="32"/>
          <w:szCs w:val="32"/>
        </w:rPr>
        <w:t>2018 年度一般公共预算财政拨款收入总计</w:t>
      </w:r>
      <w:r>
        <w:rPr>
          <w:rFonts w:hint="eastAsia" w:ascii="Times New Roman" w:hAnsi="Times New Roman" w:eastAsia="方正仿宋简体" w:cs="Times New Roman"/>
          <w:sz w:val="32"/>
          <w:szCs w:val="32"/>
        </w:rPr>
        <w:t>2772.07</w:t>
      </w:r>
      <w:r>
        <w:rPr>
          <w:rFonts w:ascii="Times New Roman" w:hAnsi="Times New Roman" w:eastAsia="方正仿宋简体" w:cs="Times New Roman"/>
          <w:sz w:val="32"/>
          <w:szCs w:val="32"/>
        </w:rPr>
        <w:t>万元，比上年同期增加</w:t>
      </w:r>
      <w:r>
        <w:rPr>
          <w:rFonts w:hint="eastAsia" w:ascii="Times New Roman" w:hAnsi="Times New Roman" w:eastAsia="方正仿宋简体" w:cs="Times New Roman"/>
          <w:sz w:val="32"/>
          <w:szCs w:val="32"/>
        </w:rPr>
        <w:t>71.32</w:t>
      </w:r>
      <w:r>
        <w:rPr>
          <w:rFonts w:ascii="Times New Roman" w:hAnsi="Times New Roman" w:eastAsia="方正仿宋简体" w:cs="Times New Roman"/>
          <w:sz w:val="32"/>
          <w:szCs w:val="32"/>
        </w:rPr>
        <w:t>万元，增长</w:t>
      </w:r>
      <w:r>
        <w:rPr>
          <w:rFonts w:hint="eastAsia" w:ascii="Times New Roman" w:hAnsi="Times New Roman" w:eastAsia="方正仿宋简体" w:cs="Times New Roman"/>
          <w:sz w:val="32"/>
          <w:szCs w:val="32"/>
        </w:rPr>
        <w:t>2.64</w:t>
      </w:r>
      <w:r>
        <w:rPr>
          <w:rFonts w:ascii="Times New Roman" w:hAnsi="Times New Roman" w:eastAsia="方正仿宋简体" w:cs="Times New Roman"/>
          <w:sz w:val="32"/>
          <w:szCs w:val="32"/>
        </w:rPr>
        <w:t>%；一般公共预算财政拨款支出总计</w:t>
      </w:r>
      <w:r>
        <w:rPr>
          <w:rFonts w:hint="eastAsia" w:ascii="Times New Roman" w:hAnsi="Times New Roman" w:eastAsia="方正仿宋简体" w:cs="Times New Roman"/>
          <w:sz w:val="32"/>
          <w:szCs w:val="32"/>
        </w:rPr>
        <w:t>2772.07</w:t>
      </w:r>
      <w:r>
        <w:rPr>
          <w:rFonts w:ascii="Times New Roman" w:hAnsi="Times New Roman" w:eastAsia="方正仿宋简体" w:cs="Times New Roman"/>
          <w:sz w:val="32"/>
          <w:szCs w:val="32"/>
        </w:rPr>
        <w:t>万元，比上年同期增加</w:t>
      </w:r>
      <w:r>
        <w:rPr>
          <w:rFonts w:hint="eastAsia" w:ascii="Times New Roman" w:hAnsi="Times New Roman" w:eastAsia="方正仿宋简体" w:cs="Times New Roman"/>
          <w:sz w:val="32"/>
          <w:szCs w:val="32"/>
        </w:rPr>
        <w:t>71.32</w:t>
      </w:r>
      <w:r>
        <w:rPr>
          <w:rFonts w:ascii="Times New Roman" w:hAnsi="Times New Roman" w:eastAsia="方正仿宋简体" w:cs="Times New Roman"/>
          <w:sz w:val="32"/>
          <w:szCs w:val="32"/>
        </w:rPr>
        <w:t>万元，增长</w:t>
      </w:r>
      <w:r>
        <w:rPr>
          <w:rFonts w:hint="eastAsia" w:ascii="Times New Roman" w:hAnsi="Times New Roman" w:eastAsia="方正仿宋简体" w:cs="Times New Roman"/>
          <w:sz w:val="32"/>
          <w:szCs w:val="32"/>
        </w:rPr>
        <w:t>2.64</w:t>
      </w:r>
      <w:r>
        <w:rPr>
          <w:rFonts w:ascii="Times New Roman" w:hAnsi="Times New Roman" w:eastAsia="方正仿宋简体" w:cs="Times New Roman"/>
          <w:sz w:val="32"/>
          <w:szCs w:val="32"/>
        </w:rPr>
        <w:t>%。主要原因：工资基数及公务费收入按比例上调。</w:t>
      </w:r>
    </w:p>
    <w:p>
      <w:pPr>
        <w:spacing w:line="556" w:lineRule="exact"/>
        <w:ind w:firstLine="320"/>
        <w:jc w:val="left"/>
        <w:rPr>
          <w:rFonts w:ascii="Times New Roman" w:hAnsi="Times New Roman" w:eastAsia="方正仿宋简体" w:cs="Times New Roman"/>
          <w:sz w:val="32"/>
          <w:szCs w:val="32"/>
        </w:rPr>
      </w:pPr>
      <w:r>
        <w:rPr>
          <w:rFonts w:ascii="Times New Roman" w:hAnsi="Times New Roman" w:eastAsia="方正仿宋简体" w:cs="Times New Roman"/>
          <w:sz w:val="32"/>
          <w:szCs w:val="32"/>
        </w:rPr>
        <w:t>（二）一般公共预算财政拨款支出决算构成情况。</w:t>
      </w:r>
    </w:p>
    <w:p>
      <w:pPr>
        <w:spacing w:line="556" w:lineRule="exact"/>
        <w:ind w:firstLine="480" w:firstLineChars="150"/>
        <w:jc w:val="left"/>
        <w:rPr>
          <w:rFonts w:ascii="Times New Roman" w:hAnsi="Times New Roman" w:eastAsia="方正仿宋简体" w:cs="Times New Roman"/>
          <w:sz w:val="32"/>
          <w:szCs w:val="32"/>
        </w:rPr>
      </w:pPr>
      <w:r>
        <w:rPr>
          <w:rFonts w:ascii="Times New Roman" w:hAnsi="Times New Roman" w:eastAsia="方正仿宋简体" w:cs="Times New Roman"/>
          <w:sz w:val="32"/>
          <w:szCs w:val="32"/>
        </w:rPr>
        <w:t xml:space="preserve"> 一般公共预算财政拨款支出3646.72万元。208社会保障和就业支出</w:t>
      </w:r>
      <w:r>
        <w:rPr>
          <w:rFonts w:hint="eastAsia" w:ascii="Times New Roman" w:hAnsi="Times New Roman" w:eastAsia="方正仿宋简体" w:cs="Times New Roman"/>
          <w:sz w:val="32"/>
          <w:szCs w:val="32"/>
        </w:rPr>
        <w:t>313.16</w:t>
      </w:r>
      <w:r>
        <w:rPr>
          <w:rFonts w:ascii="Times New Roman" w:hAnsi="Times New Roman" w:eastAsia="方正仿宋简体" w:cs="Times New Roman"/>
          <w:sz w:val="32"/>
          <w:szCs w:val="32"/>
        </w:rPr>
        <w:t>万元，占8.</w:t>
      </w:r>
      <w:r>
        <w:rPr>
          <w:rFonts w:hint="eastAsia" w:ascii="Times New Roman" w:hAnsi="Times New Roman" w:eastAsia="方正仿宋简体" w:cs="Times New Roman"/>
          <w:sz w:val="32"/>
          <w:szCs w:val="32"/>
        </w:rPr>
        <w:t>59</w:t>
      </w:r>
      <w:r>
        <w:rPr>
          <w:rFonts w:ascii="Times New Roman" w:hAnsi="Times New Roman" w:eastAsia="方正仿宋简体" w:cs="Times New Roman"/>
          <w:sz w:val="32"/>
          <w:szCs w:val="32"/>
        </w:rPr>
        <w:t>%；210医疗卫生与计划生育支出</w:t>
      </w:r>
      <w:r>
        <w:rPr>
          <w:rFonts w:hint="eastAsia" w:ascii="Times New Roman" w:hAnsi="Times New Roman" w:eastAsia="方正仿宋简体" w:cs="Times New Roman"/>
          <w:sz w:val="32"/>
          <w:szCs w:val="32"/>
        </w:rPr>
        <w:t>76.24</w:t>
      </w:r>
      <w:r>
        <w:rPr>
          <w:rFonts w:ascii="Times New Roman" w:hAnsi="Times New Roman" w:eastAsia="方正仿宋简体" w:cs="Times New Roman"/>
          <w:sz w:val="32"/>
          <w:szCs w:val="32"/>
        </w:rPr>
        <w:t>万元，占2.</w:t>
      </w:r>
      <w:r>
        <w:rPr>
          <w:rFonts w:hint="eastAsia" w:ascii="Times New Roman" w:hAnsi="Times New Roman" w:eastAsia="方正仿宋简体" w:cs="Times New Roman"/>
          <w:sz w:val="32"/>
          <w:szCs w:val="32"/>
        </w:rPr>
        <w:t>08</w:t>
      </w:r>
      <w:r>
        <w:rPr>
          <w:rFonts w:ascii="Times New Roman" w:hAnsi="Times New Roman" w:eastAsia="方正仿宋简体" w:cs="Times New Roman"/>
          <w:sz w:val="32"/>
          <w:szCs w:val="32"/>
        </w:rPr>
        <w:t>%； 212城乡社区支出</w:t>
      </w:r>
      <w:r>
        <w:rPr>
          <w:rFonts w:hint="eastAsia" w:ascii="Times New Roman" w:hAnsi="Times New Roman" w:eastAsia="方正仿宋简体" w:cs="Times New Roman"/>
          <w:sz w:val="32"/>
          <w:szCs w:val="32"/>
        </w:rPr>
        <w:t>2235.45</w:t>
      </w:r>
      <w:r>
        <w:rPr>
          <w:rFonts w:ascii="Times New Roman" w:hAnsi="Times New Roman" w:eastAsia="方正仿宋简体" w:cs="Times New Roman"/>
          <w:sz w:val="32"/>
          <w:szCs w:val="32"/>
        </w:rPr>
        <w:t>万元，占</w:t>
      </w:r>
      <w:r>
        <w:rPr>
          <w:rFonts w:hint="eastAsia" w:ascii="Times New Roman" w:hAnsi="Times New Roman" w:eastAsia="方正仿宋简体" w:cs="Times New Roman"/>
          <w:sz w:val="32"/>
          <w:szCs w:val="32"/>
        </w:rPr>
        <w:t>61.3</w:t>
      </w:r>
      <w:r>
        <w:rPr>
          <w:rFonts w:ascii="Times New Roman" w:hAnsi="Times New Roman" w:eastAsia="方正仿宋简体" w:cs="Times New Roman"/>
          <w:sz w:val="32"/>
          <w:szCs w:val="32"/>
        </w:rPr>
        <w:t>%。213农林水支出</w:t>
      </w:r>
      <w:r>
        <w:rPr>
          <w:rFonts w:hint="eastAsia" w:ascii="Times New Roman" w:hAnsi="Times New Roman" w:eastAsia="方正仿宋简体" w:cs="Times New Roman"/>
          <w:sz w:val="32"/>
          <w:szCs w:val="32"/>
        </w:rPr>
        <w:t>4</w:t>
      </w:r>
      <w:r>
        <w:rPr>
          <w:rFonts w:ascii="Times New Roman" w:hAnsi="Times New Roman" w:eastAsia="方正仿宋简体" w:cs="Times New Roman"/>
          <w:sz w:val="32"/>
          <w:szCs w:val="32"/>
        </w:rPr>
        <w:t>万元，占</w:t>
      </w:r>
      <w:r>
        <w:rPr>
          <w:rFonts w:hint="eastAsia" w:ascii="Times New Roman" w:hAnsi="Times New Roman" w:eastAsia="方正仿宋简体" w:cs="Times New Roman"/>
          <w:sz w:val="32"/>
          <w:szCs w:val="32"/>
        </w:rPr>
        <w:t>0.11</w:t>
      </w:r>
      <w:r>
        <w:rPr>
          <w:rFonts w:ascii="Times New Roman" w:hAnsi="Times New Roman" w:eastAsia="方正仿宋简体" w:cs="Times New Roman"/>
          <w:sz w:val="32"/>
          <w:szCs w:val="32"/>
        </w:rPr>
        <w:t>%；215资源勘探信息等支出1.5万元，占0.04%；221住房保障支出</w:t>
      </w:r>
      <w:r>
        <w:rPr>
          <w:rFonts w:hint="eastAsia" w:ascii="Times New Roman" w:hAnsi="Times New Roman" w:eastAsia="方正仿宋简体" w:cs="Times New Roman"/>
          <w:sz w:val="32"/>
          <w:szCs w:val="32"/>
        </w:rPr>
        <w:t>141.72</w:t>
      </w:r>
      <w:r>
        <w:rPr>
          <w:rFonts w:ascii="Times New Roman" w:hAnsi="Times New Roman" w:eastAsia="方正仿宋简体" w:cs="Times New Roman"/>
          <w:sz w:val="32"/>
          <w:szCs w:val="32"/>
        </w:rPr>
        <w:t>万元，占</w:t>
      </w:r>
      <w:r>
        <w:rPr>
          <w:rFonts w:hint="eastAsia" w:ascii="Times New Roman" w:hAnsi="Times New Roman" w:eastAsia="方正仿宋简体" w:cs="Times New Roman"/>
          <w:sz w:val="32"/>
          <w:szCs w:val="32"/>
        </w:rPr>
        <w:t>3.89</w:t>
      </w:r>
      <w:r>
        <w:rPr>
          <w:rFonts w:ascii="Times New Roman" w:hAnsi="Times New Roman" w:eastAsia="方正仿宋简体" w:cs="Times New Roman"/>
          <w:sz w:val="32"/>
          <w:szCs w:val="32"/>
        </w:rPr>
        <w:t>%。</w:t>
      </w:r>
    </w:p>
    <w:p>
      <w:pPr>
        <w:spacing w:line="556" w:lineRule="exact"/>
        <w:ind w:firstLine="160" w:firstLineChars="50"/>
        <w:jc w:val="left"/>
        <w:rPr>
          <w:rFonts w:ascii="Times New Roman" w:hAnsi="Times New Roman" w:eastAsia="方正仿宋简体" w:cs="Times New Roman"/>
          <w:sz w:val="32"/>
          <w:szCs w:val="32"/>
        </w:rPr>
      </w:pPr>
      <w:r>
        <w:rPr>
          <w:rFonts w:ascii="Times New Roman" w:hAnsi="Times New Roman" w:eastAsia="方正仿宋简体" w:cs="Times New Roman"/>
          <w:sz w:val="32"/>
          <w:szCs w:val="32"/>
        </w:rPr>
        <w:t>（三）一般公共预算财政拨款支出决算具体情况。</w:t>
      </w:r>
    </w:p>
    <w:p>
      <w:pPr>
        <w:spacing w:line="556" w:lineRule="exact"/>
        <w:ind w:firstLine="640"/>
        <w:jc w:val="left"/>
        <w:rPr>
          <w:rFonts w:ascii="Times New Roman" w:hAnsi="Times New Roman" w:eastAsia="方正仿宋简体" w:cs="Times New Roman"/>
          <w:sz w:val="32"/>
          <w:szCs w:val="32"/>
        </w:rPr>
      </w:pPr>
      <w:r>
        <w:rPr>
          <w:rFonts w:ascii="Times New Roman" w:hAnsi="Times New Roman" w:eastAsia="方正仿宋简体" w:cs="Times New Roman"/>
          <w:sz w:val="32"/>
          <w:szCs w:val="32"/>
        </w:rPr>
        <w:t>1. 208社会保障和就业支出</w:t>
      </w:r>
      <w:r>
        <w:rPr>
          <w:rFonts w:hint="eastAsia" w:ascii="Times New Roman" w:hAnsi="Times New Roman" w:eastAsia="方正仿宋简体" w:cs="Times New Roman"/>
          <w:sz w:val="32"/>
          <w:szCs w:val="32"/>
        </w:rPr>
        <w:t>313.16</w:t>
      </w:r>
      <w:r>
        <w:rPr>
          <w:rFonts w:ascii="Times New Roman" w:hAnsi="Times New Roman" w:eastAsia="方正仿宋简体" w:cs="Times New Roman"/>
          <w:sz w:val="32"/>
          <w:szCs w:val="32"/>
        </w:rPr>
        <w:t>万元，主要用于退休人员公务支出、遗属补助、缴纳在职人员养老保险支出等。</w:t>
      </w:r>
    </w:p>
    <w:p>
      <w:pPr>
        <w:spacing w:line="556" w:lineRule="exact"/>
        <w:ind w:firstLine="640"/>
        <w:jc w:val="left"/>
        <w:rPr>
          <w:rFonts w:ascii="Times New Roman" w:hAnsi="Times New Roman" w:eastAsia="方正仿宋简体" w:cs="Times New Roman"/>
          <w:sz w:val="32"/>
          <w:szCs w:val="32"/>
        </w:rPr>
      </w:pPr>
      <w:r>
        <w:rPr>
          <w:rFonts w:ascii="Times New Roman" w:hAnsi="Times New Roman" w:eastAsia="方正仿宋简体" w:cs="Times New Roman"/>
          <w:sz w:val="32"/>
          <w:szCs w:val="32"/>
        </w:rPr>
        <w:t>2. 210医疗卫生与计划生育支出</w:t>
      </w:r>
      <w:r>
        <w:rPr>
          <w:rFonts w:hint="eastAsia" w:ascii="Times New Roman" w:hAnsi="Times New Roman" w:eastAsia="方正仿宋简体" w:cs="Times New Roman"/>
          <w:sz w:val="32"/>
          <w:szCs w:val="32"/>
        </w:rPr>
        <w:t>76.24</w:t>
      </w:r>
      <w:r>
        <w:rPr>
          <w:rFonts w:ascii="Times New Roman" w:hAnsi="Times New Roman" w:eastAsia="方正仿宋简体" w:cs="Times New Roman"/>
          <w:sz w:val="32"/>
          <w:szCs w:val="32"/>
        </w:rPr>
        <w:t>万元，主要用于职工医疗保险支出。</w:t>
      </w:r>
    </w:p>
    <w:p>
      <w:pPr>
        <w:spacing w:line="556" w:lineRule="exact"/>
        <w:ind w:firstLine="640" w:firstLineChars="200"/>
        <w:jc w:val="left"/>
        <w:rPr>
          <w:rFonts w:ascii="Times New Roman" w:hAnsi="Times New Roman" w:eastAsia="方正仿宋简体" w:cs="Times New Roman"/>
          <w:sz w:val="32"/>
          <w:szCs w:val="32"/>
        </w:rPr>
      </w:pPr>
      <w:r>
        <w:rPr>
          <w:rFonts w:ascii="Times New Roman" w:hAnsi="Times New Roman" w:eastAsia="方正仿宋简体" w:cs="Times New Roman"/>
          <w:sz w:val="32"/>
          <w:szCs w:val="32"/>
        </w:rPr>
        <w:t>3. 212城乡社区支出</w:t>
      </w:r>
      <w:r>
        <w:rPr>
          <w:rFonts w:hint="eastAsia" w:ascii="Times New Roman" w:hAnsi="Times New Roman" w:eastAsia="方正仿宋简体" w:cs="Times New Roman"/>
          <w:sz w:val="32"/>
          <w:szCs w:val="32"/>
        </w:rPr>
        <w:t>2235.45</w:t>
      </w:r>
      <w:r>
        <w:rPr>
          <w:rFonts w:ascii="Times New Roman" w:hAnsi="Times New Roman" w:eastAsia="方正仿宋简体" w:cs="Times New Roman"/>
          <w:sz w:val="32"/>
          <w:szCs w:val="32"/>
        </w:rPr>
        <w:t>万元，用于工资福利支出、公务费及项目支出。</w:t>
      </w:r>
    </w:p>
    <w:p>
      <w:pPr>
        <w:spacing w:line="556" w:lineRule="exact"/>
        <w:ind w:firstLine="640" w:firstLineChars="200"/>
        <w:jc w:val="left"/>
        <w:rPr>
          <w:rFonts w:ascii="Times New Roman" w:hAnsi="Times New Roman" w:eastAsia="方正仿宋简体" w:cs="Times New Roman"/>
          <w:sz w:val="32"/>
          <w:szCs w:val="32"/>
        </w:rPr>
      </w:pPr>
      <w:r>
        <w:rPr>
          <w:rFonts w:ascii="Times New Roman" w:hAnsi="Times New Roman" w:eastAsia="方正仿宋简体" w:cs="Times New Roman"/>
          <w:sz w:val="32"/>
          <w:szCs w:val="32"/>
        </w:rPr>
        <w:t>4. 213农林水支出</w:t>
      </w:r>
      <w:r>
        <w:rPr>
          <w:rFonts w:hint="eastAsia" w:ascii="Times New Roman" w:hAnsi="Times New Roman" w:eastAsia="方正仿宋简体" w:cs="Times New Roman"/>
          <w:sz w:val="32"/>
          <w:szCs w:val="32"/>
        </w:rPr>
        <w:t>4</w:t>
      </w:r>
      <w:r>
        <w:rPr>
          <w:rFonts w:ascii="Times New Roman" w:hAnsi="Times New Roman" w:eastAsia="方正仿宋简体" w:cs="Times New Roman"/>
          <w:sz w:val="32"/>
          <w:szCs w:val="32"/>
        </w:rPr>
        <w:t>万元，用于资阳风貌带管理支出。</w:t>
      </w:r>
    </w:p>
    <w:p>
      <w:pPr>
        <w:spacing w:line="556" w:lineRule="exact"/>
        <w:ind w:firstLine="640" w:firstLineChars="200"/>
        <w:jc w:val="left"/>
        <w:rPr>
          <w:rFonts w:ascii="Times New Roman" w:hAnsi="Times New Roman" w:eastAsia="方正仿宋简体" w:cs="Times New Roman"/>
          <w:sz w:val="32"/>
          <w:szCs w:val="32"/>
        </w:rPr>
      </w:pPr>
      <w:r>
        <w:rPr>
          <w:rFonts w:ascii="Times New Roman" w:hAnsi="Times New Roman" w:eastAsia="方正仿宋简体" w:cs="Times New Roman"/>
          <w:sz w:val="32"/>
          <w:szCs w:val="32"/>
        </w:rPr>
        <w:t>5. 215资源勘探信息等支出1.5万元，用于安全生产奖。</w:t>
      </w:r>
    </w:p>
    <w:p>
      <w:pPr>
        <w:spacing w:line="556" w:lineRule="exact"/>
        <w:ind w:firstLine="640" w:firstLineChars="200"/>
        <w:jc w:val="left"/>
        <w:rPr>
          <w:rFonts w:ascii="Times New Roman" w:hAnsi="Times New Roman" w:eastAsia="方正仿宋简体" w:cs="Times New Roman"/>
          <w:sz w:val="32"/>
          <w:szCs w:val="32"/>
        </w:rPr>
      </w:pPr>
      <w:r>
        <w:rPr>
          <w:rFonts w:ascii="Times New Roman" w:hAnsi="Times New Roman" w:eastAsia="方正仿宋简体" w:cs="Times New Roman"/>
          <w:sz w:val="32"/>
          <w:szCs w:val="32"/>
        </w:rPr>
        <w:t>6. 221住房保障支出</w:t>
      </w:r>
      <w:r>
        <w:rPr>
          <w:rFonts w:hint="eastAsia" w:ascii="Times New Roman" w:hAnsi="Times New Roman" w:eastAsia="方正仿宋简体" w:cs="Times New Roman"/>
          <w:sz w:val="32"/>
          <w:szCs w:val="32"/>
        </w:rPr>
        <w:t>141.72</w:t>
      </w:r>
      <w:r>
        <w:rPr>
          <w:rFonts w:ascii="Times New Roman" w:hAnsi="Times New Roman" w:eastAsia="方正仿宋简体" w:cs="Times New Roman"/>
          <w:sz w:val="32"/>
          <w:szCs w:val="32"/>
        </w:rPr>
        <w:t>万元，用于职工住房公积金。</w:t>
      </w:r>
    </w:p>
    <w:p>
      <w:pPr>
        <w:spacing w:line="556" w:lineRule="exact"/>
        <w:ind w:firstLine="640"/>
        <w:jc w:val="left"/>
        <w:rPr>
          <w:rFonts w:ascii="Times New Roman" w:hAnsi="Times New Roman" w:eastAsia="方正仿宋简体" w:cs="Times New Roman"/>
          <w:b/>
          <w:sz w:val="32"/>
          <w:szCs w:val="32"/>
        </w:rPr>
      </w:pPr>
    </w:p>
    <w:p>
      <w:pPr>
        <w:spacing w:line="556" w:lineRule="exact"/>
        <w:ind w:firstLine="640"/>
        <w:jc w:val="left"/>
        <w:rPr>
          <w:rFonts w:ascii="Times New Roman" w:hAnsi="Times New Roman" w:eastAsia="方正仿宋简体" w:cs="Times New Roman"/>
          <w:b/>
          <w:sz w:val="32"/>
          <w:szCs w:val="32"/>
        </w:rPr>
      </w:pPr>
      <w:r>
        <w:rPr>
          <w:rFonts w:ascii="Times New Roman" w:hAnsi="Times New Roman" w:eastAsia="方正仿宋简体" w:cs="Times New Roman"/>
          <w:b/>
          <w:sz w:val="32"/>
          <w:szCs w:val="32"/>
        </w:rPr>
        <w:t>六、关于益阳市城市管理行政执法局2018 年度一般公共预算财政拨款基本支出决算情况说明</w:t>
      </w:r>
    </w:p>
    <w:p>
      <w:pPr>
        <w:spacing w:line="556" w:lineRule="exact"/>
        <w:ind w:firstLine="640" w:firstLineChars="200"/>
        <w:jc w:val="left"/>
        <w:rPr>
          <w:rFonts w:ascii="Times New Roman" w:hAnsi="Times New Roman" w:eastAsia="方正仿宋简体" w:cs="Times New Roman"/>
          <w:sz w:val="32"/>
          <w:szCs w:val="32"/>
        </w:rPr>
      </w:pPr>
      <w:r>
        <w:rPr>
          <w:rFonts w:ascii="Times New Roman" w:hAnsi="Times New Roman" w:eastAsia="方正仿宋简体" w:cs="Times New Roman"/>
          <w:sz w:val="32"/>
          <w:szCs w:val="32"/>
        </w:rPr>
        <w:t>2018 年度一般公共预算财政拨款基本支出</w:t>
      </w:r>
      <w:r>
        <w:rPr>
          <w:rFonts w:hint="eastAsia" w:ascii="Times New Roman" w:hAnsi="Times New Roman" w:eastAsia="方正仿宋简体" w:cs="Times New Roman"/>
          <w:sz w:val="32"/>
          <w:szCs w:val="32"/>
        </w:rPr>
        <w:t>2520.24</w:t>
      </w:r>
      <w:r>
        <w:rPr>
          <w:rFonts w:ascii="Times New Roman" w:hAnsi="Times New Roman" w:eastAsia="方正仿宋简体" w:cs="Times New Roman"/>
          <w:sz w:val="32"/>
          <w:szCs w:val="32"/>
        </w:rPr>
        <w:t>万元，其中人员经费支出</w:t>
      </w:r>
      <w:r>
        <w:rPr>
          <w:rFonts w:hint="eastAsia" w:ascii="Times New Roman" w:hAnsi="Times New Roman" w:eastAsia="方正仿宋简体" w:cs="Times New Roman"/>
          <w:sz w:val="32"/>
          <w:szCs w:val="32"/>
        </w:rPr>
        <w:t>2281.11</w:t>
      </w:r>
      <w:r>
        <w:rPr>
          <w:rFonts w:ascii="Times New Roman" w:hAnsi="Times New Roman" w:eastAsia="方正仿宋简体" w:cs="Times New Roman"/>
          <w:sz w:val="32"/>
          <w:szCs w:val="32"/>
        </w:rPr>
        <w:t>万元，主要包括：基本工资、津贴补贴、其他社会保障缴费、绩效工资等；公用经费支出</w:t>
      </w:r>
      <w:r>
        <w:rPr>
          <w:rFonts w:hint="eastAsia" w:ascii="Times New Roman" w:hAnsi="Times New Roman" w:eastAsia="方正仿宋简体" w:cs="Times New Roman"/>
          <w:sz w:val="32"/>
          <w:szCs w:val="32"/>
        </w:rPr>
        <w:t>239.13</w:t>
      </w:r>
      <w:r>
        <w:rPr>
          <w:rFonts w:ascii="Times New Roman" w:hAnsi="Times New Roman" w:eastAsia="方正仿宋简体" w:cs="Times New Roman"/>
          <w:sz w:val="32"/>
          <w:szCs w:val="32"/>
        </w:rPr>
        <w:t>万元。主要包括：办公费、印刷费、咨询费、水电费、邮电费、物管费、车辆运行经费等。</w:t>
      </w:r>
    </w:p>
    <w:p>
      <w:pPr>
        <w:spacing w:line="556" w:lineRule="exact"/>
        <w:ind w:firstLine="640"/>
        <w:jc w:val="left"/>
        <w:rPr>
          <w:rFonts w:ascii="Times New Roman" w:hAnsi="Times New Roman" w:eastAsia="方正仿宋简体" w:cs="Times New Roman"/>
          <w:sz w:val="32"/>
          <w:szCs w:val="32"/>
        </w:rPr>
      </w:pPr>
    </w:p>
    <w:p>
      <w:pPr>
        <w:spacing w:line="556" w:lineRule="exact"/>
        <w:ind w:firstLine="640"/>
        <w:jc w:val="left"/>
        <w:rPr>
          <w:rFonts w:ascii="Times New Roman" w:hAnsi="Times New Roman" w:eastAsia="方正仿宋简体" w:cs="Times New Roman"/>
          <w:b/>
          <w:sz w:val="32"/>
          <w:szCs w:val="32"/>
        </w:rPr>
      </w:pPr>
      <w:r>
        <w:rPr>
          <w:rFonts w:ascii="Times New Roman" w:hAnsi="Times New Roman" w:eastAsia="方正仿宋简体" w:cs="Times New Roman"/>
          <w:b/>
          <w:sz w:val="32"/>
          <w:szCs w:val="32"/>
        </w:rPr>
        <w:t>七、关于益阳市城市管理行政执法局2018 年度政府性基金预算财政拨款支出决算情况说明</w:t>
      </w:r>
    </w:p>
    <w:p>
      <w:pPr>
        <w:spacing w:line="556" w:lineRule="exact"/>
        <w:ind w:firstLine="640"/>
        <w:jc w:val="left"/>
        <w:rPr>
          <w:rFonts w:ascii="Times New Roman" w:hAnsi="Times New Roman" w:eastAsia="方正仿宋简体" w:cs="Times New Roman"/>
          <w:sz w:val="32"/>
          <w:szCs w:val="32"/>
        </w:rPr>
      </w:pPr>
      <w:r>
        <w:rPr>
          <w:rFonts w:ascii="Times New Roman" w:hAnsi="Times New Roman" w:eastAsia="方正仿宋简体" w:cs="Times New Roman"/>
          <w:sz w:val="32"/>
          <w:szCs w:val="32"/>
        </w:rPr>
        <w:t>本单位没有政府性基金收入，也没有政府性基金安排的支出，故无数据。</w:t>
      </w:r>
    </w:p>
    <w:p>
      <w:pPr>
        <w:spacing w:line="556" w:lineRule="exact"/>
        <w:ind w:firstLine="640"/>
        <w:jc w:val="left"/>
        <w:rPr>
          <w:rFonts w:ascii="Times New Roman" w:hAnsi="Times New Roman" w:eastAsia="方正仿宋简体" w:cs="Times New Roman"/>
          <w:sz w:val="32"/>
          <w:szCs w:val="32"/>
        </w:rPr>
      </w:pPr>
    </w:p>
    <w:p>
      <w:pPr>
        <w:spacing w:line="556" w:lineRule="exact"/>
        <w:ind w:firstLine="640"/>
        <w:jc w:val="left"/>
        <w:rPr>
          <w:rFonts w:ascii="Times New Roman" w:hAnsi="Times New Roman" w:eastAsia="方正仿宋简体" w:cs="Times New Roman"/>
          <w:b/>
          <w:sz w:val="32"/>
          <w:szCs w:val="32"/>
        </w:rPr>
      </w:pPr>
      <w:r>
        <w:rPr>
          <w:rFonts w:ascii="Times New Roman" w:hAnsi="Times New Roman" w:eastAsia="方正仿宋简体" w:cs="Times New Roman"/>
          <w:b/>
          <w:sz w:val="32"/>
          <w:szCs w:val="32"/>
        </w:rPr>
        <w:t>八、关于益阳市城市管理行政执法局2018 年度一般公共预算财政拨款“三公”经费支出决算情况说明</w:t>
      </w:r>
    </w:p>
    <w:p>
      <w:pPr>
        <w:spacing w:line="556" w:lineRule="exact"/>
        <w:ind w:firstLine="640"/>
        <w:jc w:val="left"/>
        <w:rPr>
          <w:rFonts w:ascii="Times New Roman" w:hAnsi="Times New Roman" w:eastAsia="方正仿宋简体" w:cs="Times New Roman"/>
          <w:sz w:val="32"/>
          <w:szCs w:val="32"/>
        </w:rPr>
      </w:pPr>
      <w:r>
        <w:rPr>
          <w:rFonts w:ascii="Times New Roman" w:hAnsi="Times New Roman" w:eastAsia="方正仿宋简体" w:cs="Times New Roman"/>
          <w:sz w:val="32"/>
          <w:szCs w:val="32"/>
        </w:rPr>
        <w:t>（一）“三公”经费财政拨款支出决算总体情况说明。</w:t>
      </w:r>
    </w:p>
    <w:p>
      <w:pPr>
        <w:spacing w:line="556" w:lineRule="exact"/>
        <w:ind w:firstLine="640"/>
        <w:jc w:val="left"/>
        <w:rPr>
          <w:rFonts w:ascii="Times New Roman" w:hAnsi="Times New Roman" w:eastAsia="方正仿宋简体" w:cs="Times New Roman"/>
          <w:sz w:val="32"/>
          <w:szCs w:val="32"/>
        </w:rPr>
      </w:pPr>
      <w:r>
        <w:rPr>
          <w:rFonts w:ascii="Times New Roman" w:hAnsi="Times New Roman" w:eastAsia="方正仿宋简体" w:cs="Times New Roman"/>
          <w:sz w:val="32"/>
          <w:szCs w:val="32"/>
        </w:rPr>
        <w:t>2018 年度“三公”经费财政拨款支出预算为90万元，支出决算为</w:t>
      </w:r>
      <w:r>
        <w:rPr>
          <w:rFonts w:hint="eastAsia" w:ascii="Times New Roman" w:hAnsi="Times New Roman" w:eastAsia="方正仿宋简体" w:cs="Times New Roman"/>
          <w:sz w:val="32"/>
          <w:szCs w:val="32"/>
        </w:rPr>
        <w:t>41.32</w:t>
      </w:r>
      <w:r>
        <w:rPr>
          <w:rFonts w:ascii="Times New Roman" w:hAnsi="Times New Roman" w:eastAsia="方正仿宋简体" w:cs="Times New Roman"/>
          <w:sz w:val="32"/>
          <w:szCs w:val="32"/>
        </w:rPr>
        <w:t>万元，完成预算的</w:t>
      </w:r>
      <w:r>
        <w:rPr>
          <w:rFonts w:hint="eastAsia" w:ascii="Times New Roman" w:hAnsi="Times New Roman" w:eastAsia="方正仿宋简体" w:cs="Times New Roman"/>
          <w:sz w:val="32"/>
          <w:szCs w:val="32"/>
        </w:rPr>
        <w:t>45.91</w:t>
      </w:r>
      <w:r>
        <w:rPr>
          <w:rFonts w:ascii="Times New Roman" w:hAnsi="Times New Roman" w:eastAsia="方正仿宋简体" w:cs="Times New Roman"/>
          <w:sz w:val="32"/>
          <w:szCs w:val="32"/>
        </w:rPr>
        <w:t>%，其中：因公出国（境）费支出决算为0万元，完成预算的0%；公务用车购置及运行费支出决算为</w:t>
      </w:r>
      <w:r>
        <w:rPr>
          <w:rFonts w:hint="eastAsia" w:ascii="Times New Roman" w:hAnsi="Times New Roman" w:eastAsia="方正仿宋简体" w:cs="Times New Roman"/>
          <w:sz w:val="32"/>
          <w:szCs w:val="32"/>
        </w:rPr>
        <w:t>37.46</w:t>
      </w:r>
      <w:r>
        <w:rPr>
          <w:rFonts w:ascii="Times New Roman" w:hAnsi="Times New Roman" w:eastAsia="方正仿宋简体" w:cs="Times New Roman"/>
          <w:sz w:val="32"/>
          <w:szCs w:val="32"/>
        </w:rPr>
        <w:t>万元，完成预算的</w:t>
      </w:r>
      <w:r>
        <w:rPr>
          <w:rFonts w:hint="eastAsia" w:ascii="Times New Roman" w:hAnsi="Times New Roman" w:eastAsia="方正仿宋简体" w:cs="Times New Roman"/>
          <w:sz w:val="32"/>
          <w:szCs w:val="32"/>
        </w:rPr>
        <w:t>78.04</w:t>
      </w:r>
      <w:r>
        <w:rPr>
          <w:rFonts w:ascii="Times New Roman" w:hAnsi="Times New Roman" w:eastAsia="方正仿宋简体" w:cs="Times New Roman"/>
          <w:sz w:val="32"/>
          <w:szCs w:val="32"/>
        </w:rPr>
        <w:t>%；公务接待费支出决算为</w:t>
      </w:r>
      <w:r>
        <w:rPr>
          <w:rFonts w:hint="eastAsia" w:ascii="Times New Roman" w:hAnsi="Times New Roman" w:eastAsia="方正仿宋简体" w:cs="Times New Roman"/>
          <w:sz w:val="32"/>
          <w:szCs w:val="32"/>
        </w:rPr>
        <w:t>3</w:t>
      </w:r>
      <w:r>
        <w:rPr>
          <w:rFonts w:ascii="Times New Roman" w:hAnsi="Times New Roman" w:eastAsia="方正仿宋简体" w:cs="Times New Roman"/>
          <w:sz w:val="32"/>
          <w:szCs w:val="32"/>
        </w:rPr>
        <w:t>.86万元，完成预算的</w:t>
      </w:r>
      <w:r>
        <w:rPr>
          <w:rFonts w:hint="eastAsia" w:ascii="Times New Roman" w:hAnsi="Times New Roman" w:eastAsia="方正仿宋简体" w:cs="Times New Roman"/>
          <w:sz w:val="32"/>
          <w:szCs w:val="32"/>
        </w:rPr>
        <w:t>9.65</w:t>
      </w:r>
      <w:r>
        <w:rPr>
          <w:rFonts w:ascii="Times New Roman" w:hAnsi="Times New Roman" w:eastAsia="方正仿宋简体" w:cs="Times New Roman"/>
          <w:sz w:val="32"/>
          <w:szCs w:val="32"/>
        </w:rPr>
        <w:t>%。2018 年度“三公”经费支出决算数小于预算数的主要原因：厉行节约。</w:t>
      </w:r>
    </w:p>
    <w:p>
      <w:pPr>
        <w:spacing w:line="556" w:lineRule="exact"/>
        <w:ind w:firstLine="640"/>
        <w:jc w:val="left"/>
        <w:rPr>
          <w:rFonts w:ascii="Times New Roman" w:hAnsi="Times New Roman" w:eastAsia="方正仿宋简体" w:cs="Times New Roman"/>
          <w:sz w:val="32"/>
          <w:szCs w:val="32"/>
        </w:rPr>
      </w:pPr>
      <w:r>
        <w:rPr>
          <w:rFonts w:ascii="Times New Roman" w:hAnsi="Times New Roman" w:eastAsia="方正仿宋简体" w:cs="Times New Roman"/>
          <w:sz w:val="32"/>
          <w:szCs w:val="32"/>
        </w:rPr>
        <w:t>（二）“三公”经费财政拨款支出决算具体情况说明。</w:t>
      </w:r>
    </w:p>
    <w:p>
      <w:pPr>
        <w:spacing w:line="556" w:lineRule="exact"/>
        <w:ind w:firstLine="640"/>
        <w:jc w:val="left"/>
        <w:rPr>
          <w:rFonts w:ascii="Times New Roman" w:hAnsi="Times New Roman" w:eastAsia="方正仿宋简体" w:cs="Times New Roman"/>
          <w:sz w:val="32"/>
          <w:szCs w:val="32"/>
        </w:rPr>
      </w:pPr>
      <w:r>
        <w:rPr>
          <w:rFonts w:ascii="Times New Roman" w:hAnsi="Times New Roman" w:eastAsia="方正仿宋简体" w:cs="Times New Roman"/>
          <w:sz w:val="32"/>
          <w:szCs w:val="32"/>
        </w:rPr>
        <w:t xml:space="preserve"> 2018 年度“三公”经费财政拨款支出决算为</w:t>
      </w:r>
      <w:r>
        <w:rPr>
          <w:rFonts w:hint="eastAsia" w:ascii="Times New Roman" w:hAnsi="Times New Roman" w:eastAsia="方正仿宋简体" w:cs="Times New Roman"/>
          <w:sz w:val="32"/>
          <w:szCs w:val="32"/>
        </w:rPr>
        <w:t>41.32</w:t>
      </w:r>
      <w:r>
        <w:rPr>
          <w:rFonts w:ascii="Times New Roman" w:hAnsi="Times New Roman" w:eastAsia="方正仿宋简体" w:cs="Times New Roman"/>
          <w:sz w:val="32"/>
          <w:szCs w:val="32"/>
        </w:rPr>
        <w:t>万元，其中：因公出国（境）费支出决算为 0万元，占0%；公务用车购置及运行费支出决算为</w:t>
      </w:r>
      <w:r>
        <w:rPr>
          <w:rFonts w:hint="eastAsia" w:ascii="Times New Roman" w:hAnsi="Times New Roman" w:eastAsia="方正仿宋简体" w:cs="Times New Roman"/>
          <w:sz w:val="32"/>
          <w:szCs w:val="32"/>
        </w:rPr>
        <w:t>37.46</w:t>
      </w:r>
      <w:r>
        <w:rPr>
          <w:rFonts w:ascii="Times New Roman" w:hAnsi="Times New Roman" w:eastAsia="方正仿宋简体" w:cs="Times New Roman"/>
          <w:sz w:val="32"/>
          <w:szCs w:val="32"/>
        </w:rPr>
        <w:t>万元，占90.</w:t>
      </w:r>
      <w:r>
        <w:rPr>
          <w:rFonts w:hint="eastAsia" w:ascii="Times New Roman" w:hAnsi="Times New Roman" w:eastAsia="方正仿宋简体" w:cs="Times New Roman"/>
          <w:sz w:val="32"/>
          <w:szCs w:val="32"/>
        </w:rPr>
        <w:t>66</w:t>
      </w:r>
      <w:r>
        <w:rPr>
          <w:rFonts w:ascii="Times New Roman" w:hAnsi="Times New Roman" w:eastAsia="方正仿宋简体" w:cs="Times New Roman"/>
          <w:sz w:val="32"/>
          <w:szCs w:val="32"/>
        </w:rPr>
        <w:t>%；公务接待费支出决算为</w:t>
      </w:r>
      <w:r>
        <w:rPr>
          <w:rFonts w:hint="eastAsia" w:ascii="Times New Roman" w:hAnsi="Times New Roman" w:eastAsia="方正仿宋简体" w:cs="Times New Roman"/>
          <w:sz w:val="32"/>
          <w:szCs w:val="32"/>
        </w:rPr>
        <w:t>3</w:t>
      </w:r>
      <w:r>
        <w:rPr>
          <w:rFonts w:ascii="Times New Roman" w:hAnsi="Times New Roman" w:eastAsia="方正仿宋简体" w:cs="Times New Roman"/>
          <w:sz w:val="32"/>
          <w:szCs w:val="32"/>
        </w:rPr>
        <w:t>.86万元，占9.</w:t>
      </w:r>
      <w:r>
        <w:rPr>
          <w:rFonts w:hint="eastAsia" w:ascii="Times New Roman" w:hAnsi="Times New Roman" w:eastAsia="方正仿宋简体" w:cs="Times New Roman"/>
          <w:sz w:val="32"/>
          <w:szCs w:val="32"/>
        </w:rPr>
        <w:t>34</w:t>
      </w:r>
      <w:r>
        <w:rPr>
          <w:rFonts w:ascii="Times New Roman" w:hAnsi="Times New Roman" w:eastAsia="方正仿宋简体" w:cs="Times New Roman"/>
          <w:sz w:val="32"/>
          <w:szCs w:val="32"/>
        </w:rPr>
        <w:t>%。2018 年度“三公”经费支出决算数小于上年决算数的主要原因：厉行节约。</w:t>
      </w:r>
    </w:p>
    <w:p>
      <w:pPr>
        <w:spacing w:line="556" w:lineRule="exact"/>
        <w:ind w:firstLine="640"/>
        <w:jc w:val="left"/>
        <w:rPr>
          <w:rFonts w:ascii="Times New Roman" w:hAnsi="Times New Roman" w:eastAsia="方正仿宋简体" w:cs="Times New Roman"/>
          <w:sz w:val="32"/>
          <w:szCs w:val="32"/>
        </w:rPr>
      </w:pPr>
      <w:r>
        <w:rPr>
          <w:rFonts w:ascii="Times New Roman" w:hAnsi="Times New Roman" w:eastAsia="方正仿宋简体" w:cs="Times New Roman"/>
          <w:sz w:val="32"/>
          <w:szCs w:val="32"/>
        </w:rPr>
        <w:t>1、因公出国（境）情况说明</w:t>
      </w:r>
    </w:p>
    <w:p>
      <w:pPr>
        <w:spacing w:line="556" w:lineRule="exact"/>
        <w:ind w:firstLine="640"/>
        <w:jc w:val="left"/>
        <w:rPr>
          <w:rFonts w:ascii="Times New Roman" w:hAnsi="Times New Roman" w:eastAsia="方正仿宋简体" w:cs="Times New Roman"/>
          <w:sz w:val="32"/>
          <w:szCs w:val="32"/>
        </w:rPr>
      </w:pPr>
      <w:r>
        <w:rPr>
          <w:rFonts w:ascii="Times New Roman" w:hAnsi="Times New Roman" w:eastAsia="方正仿宋简体" w:cs="Times New Roman"/>
          <w:sz w:val="32"/>
          <w:szCs w:val="32"/>
        </w:rPr>
        <w:t>无因公出国（境）开支</w:t>
      </w:r>
    </w:p>
    <w:p>
      <w:pPr>
        <w:spacing w:line="556" w:lineRule="exact"/>
        <w:ind w:firstLine="640"/>
        <w:jc w:val="left"/>
        <w:rPr>
          <w:rFonts w:ascii="Times New Roman" w:hAnsi="Times New Roman" w:eastAsia="方正仿宋简体" w:cs="Times New Roman"/>
          <w:sz w:val="32"/>
          <w:szCs w:val="32"/>
        </w:rPr>
      </w:pPr>
      <w:r>
        <w:rPr>
          <w:rFonts w:ascii="Times New Roman" w:hAnsi="Times New Roman" w:eastAsia="方正仿宋简体" w:cs="Times New Roman"/>
          <w:sz w:val="32"/>
          <w:szCs w:val="32"/>
        </w:rPr>
        <w:t>2、公务用车购置及运行经费情况说明</w:t>
      </w:r>
    </w:p>
    <w:p>
      <w:pPr>
        <w:spacing w:line="556" w:lineRule="exact"/>
        <w:ind w:firstLine="640"/>
        <w:jc w:val="left"/>
        <w:rPr>
          <w:rFonts w:ascii="Times New Roman" w:hAnsi="Times New Roman" w:eastAsia="方正仿宋简体" w:cs="Times New Roman"/>
          <w:sz w:val="32"/>
          <w:szCs w:val="32"/>
        </w:rPr>
      </w:pPr>
      <w:r>
        <w:rPr>
          <w:rFonts w:ascii="Times New Roman" w:hAnsi="Times New Roman" w:eastAsia="方正仿宋简体" w:cs="Times New Roman"/>
          <w:sz w:val="32"/>
          <w:szCs w:val="32"/>
        </w:rPr>
        <w:t>公务用车购置：支出</w:t>
      </w:r>
      <w:r>
        <w:rPr>
          <w:rFonts w:hint="eastAsia" w:ascii="Times New Roman" w:hAnsi="Times New Roman" w:eastAsia="方正仿宋简体" w:cs="Times New Roman"/>
          <w:sz w:val="32"/>
          <w:szCs w:val="32"/>
        </w:rPr>
        <w:t>0万元，车辆保有量21台</w:t>
      </w:r>
    </w:p>
    <w:p>
      <w:pPr>
        <w:spacing w:line="556" w:lineRule="exact"/>
        <w:ind w:firstLine="640"/>
        <w:jc w:val="left"/>
        <w:rPr>
          <w:rFonts w:ascii="Times New Roman" w:hAnsi="Times New Roman" w:eastAsia="方正仿宋简体" w:cs="Times New Roman"/>
          <w:sz w:val="32"/>
          <w:szCs w:val="32"/>
        </w:rPr>
      </w:pPr>
      <w:r>
        <w:rPr>
          <w:rFonts w:ascii="Times New Roman" w:hAnsi="Times New Roman" w:eastAsia="方正仿宋简体" w:cs="Times New Roman"/>
          <w:sz w:val="32"/>
          <w:szCs w:val="32"/>
        </w:rPr>
        <w:t>运行经费支出：</w:t>
      </w:r>
      <w:r>
        <w:rPr>
          <w:rFonts w:hint="eastAsia" w:ascii="Times New Roman" w:hAnsi="Times New Roman" w:eastAsia="方正仿宋简体" w:cs="Times New Roman"/>
          <w:sz w:val="32"/>
          <w:szCs w:val="32"/>
        </w:rPr>
        <w:t>37.46</w:t>
      </w:r>
      <w:r>
        <w:rPr>
          <w:rFonts w:ascii="Times New Roman" w:hAnsi="Times New Roman" w:eastAsia="方正仿宋简体" w:cs="Times New Roman"/>
          <w:sz w:val="32"/>
          <w:szCs w:val="32"/>
        </w:rPr>
        <w:t>万元，主要用于燃料费、车辆维修、车辆保险及年检等。</w:t>
      </w:r>
    </w:p>
    <w:p>
      <w:pPr>
        <w:spacing w:line="556" w:lineRule="exact"/>
        <w:ind w:firstLine="640"/>
        <w:jc w:val="left"/>
        <w:rPr>
          <w:rFonts w:ascii="Times New Roman" w:hAnsi="Times New Roman" w:eastAsia="方正仿宋简体" w:cs="Times New Roman"/>
          <w:sz w:val="32"/>
          <w:szCs w:val="32"/>
        </w:rPr>
      </w:pPr>
      <w:r>
        <w:rPr>
          <w:rFonts w:ascii="Times New Roman" w:hAnsi="Times New Roman" w:eastAsia="方正仿宋简体" w:cs="Times New Roman"/>
          <w:sz w:val="32"/>
          <w:szCs w:val="32"/>
        </w:rPr>
        <w:t>3、公务接待情况说明</w:t>
      </w:r>
    </w:p>
    <w:p>
      <w:pPr>
        <w:spacing w:line="556" w:lineRule="exact"/>
        <w:ind w:firstLine="640"/>
        <w:jc w:val="left"/>
        <w:rPr>
          <w:rFonts w:ascii="Times New Roman" w:hAnsi="Times New Roman" w:eastAsia="方正仿宋简体" w:cs="Times New Roman"/>
          <w:sz w:val="32"/>
          <w:szCs w:val="32"/>
        </w:rPr>
      </w:pPr>
      <w:r>
        <w:rPr>
          <w:rFonts w:ascii="Times New Roman" w:hAnsi="Times New Roman" w:eastAsia="方正仿宋简体" w:cs="Times New Roman"/>
          <w:sz w:val="32"/>
          <w:szCs w:val="32"/>
        </w:rPr>
        <w:t>公务接待支出</w:t>
      </w:r>
      <w:r>
        <w:rPr>
          <w:rFonts w:hint="eastAsia" w:ascii="Times New Roman" w:hAnsi="Times New Roman" w:eastAsia="方正仿宋简体" w:cs="Times New Roman"/>
          <w:sz w:val="32"/>
          <w:szCs w:val="32"/>
        </w:rPr>
        <w:t>3</w:t>
      </w:r>
      <w:r>
        <w:rPr>
          <w:rFonts w:ascii="Times New Roman" w:hAnsi="Times New Roman" w:eastAsia="方正仿宋简体" w:cs="Times New Roman"/>
          <w:sz w:val="32"/>
          <w:szCs w:val="32"/>
        </w:rPr>
        <w:t>.86万元，国内公务接待</w:t>
      </w:r>
      <w:r>
        <w:rPr>
          <w:rFonts w:hint="eastAsia" w:ascii="Times New Roman" w:hAnsi="Times New Roman" w:eastAsia="方正仿宋简体" w:cs="Times New Roman"/>
          <w:sz w:val="32"/>
          <w:szCs w:val="32"/>
        </w:rPr>
        <w:t>88</w:t>
      </w:r>
      <w:r>
        <w:rPr>
          <w:rFonts w:ascii="Times New Roman" w:hAnsi="Times New Roman" w:eastAsia="方正仿宋简体" w:cs="Times New Roman"/>
          <w:sz w:val="32"/>
          <w:szCs w:val="32"/>
        </w:rPr>
        <w:t>批次，接待</w:t>
      </w:r>
      <w:r>
        <w:rPr>
          <w:rFonts w:hint="eastAsia" w:ascii="Times New Roman" w:hAnsi="Times New Roman" w:eastAsia="方正仿宋简体" w:cs="Times New Roman"/>
          <w:sz w:val="32"/>
          <w:szCs w:val="32"/>
        </w:rPr>
        <w:t>689</w:t>
      </w:r>
      <w:r>
        <w:rPr>
          <w:rFonts w:ascii="Times New Roman" w:hAnsi="Times New Roman" w:eastAsia="方正仿宋简体" w:cs="Times New Roman"/>
          <w:sz w:val="32"/>
          <w:szCs w:val="32"/>
        </w:rPr>
        <w:t>人。接待支出主要用于省内外地州市及区县城管</w:t>
      </w:r>
      <w:r>
        <w:rPr>
          <w:rFonts w:hint="eastAsia" w:ascii="Times New Roman" w:hAnsi="Times New Roman" w:eastAsia="方正仿宋简体" w:cs="Times New Roman"/>
          <w:sz w:val="32"/>
          <w:szCs w:val="32"/>
        </w:rPr>
        <w:t>局</w:t>
      </w:r>
      <w:r>
        <w:rPr>
          <w:rFonts w:ascii="Times New Roman" w:hAnsi="Times New Roman" w:eastAsia="方正仿宋简体" w:cs="Times New Roman"/>
          <w:sz w:val="32"/>
          <w:szCs w:val="32"/>
        </w:rPr>
        <w:t>学习交流考察接待。</w:t>
      </w:r>
    </w:p>
    <w:p>
      <w:pPr>
        <w:spacing w:line="556" w:lineRule="exact"/>
        <w:ind w:firstLine="640"/>
        <w:jc w:val="left"/>
        <w:rPr>
          <w:rFonts w:ascii="Times New Roman" w:hAnsi="Times New Roman" w:eastAsia="方正仿宋简体" w:cs="Times New Roman"/>
          <w:sz w:val="32"/>
          <w:szCs w:val="32"/>
        </w:rPr>
      </w:pPr>
    </w:p>
    <w:p>
      <w:pPr>
        <w:spacing w:line="556" w:lineRule="exact"/>
        <w:ind w:firstLine="640"/>
        <w:jc w:val="left"/>
        <w:rPr>
          <w:rFonts w:ascii="Times New Roman" w:hAnsi="Times New Roman" w:eastAsia="方正仿宋简体" w:cs="Times New Roman"/>
          <w:b/>
          <w:sz w:val="32"/>
          <w:szCs w:val="32"/>
        </w:rPr>
      </w:pPr>
      <w:r>
        <w:rPr>
          <w:rFonts w:ascii="Times New Roman" w:hAnsi="Times New Roman" w:eastAsia="方正仿宋简体" w:cs="Times New Roman"/>
          <w:b/>
          <w:sz w:val="32"/>
          <w:szCs w:val="32"/>
        </w:rPr>
        <w:t>九、关于 2018 年度预算绩效情况说明</w:t>
      </w:r>
    </w:p>
    <w:p>
      <w:pPr>
        <w:spacing w:line="556" w:lineRule="exact"/>
        <w:ind w:firstLine="640"/>
        <w:jc w:val="left"/>
        <w:rPr>
          <w:rFonts w:ascii="Times New Roman" w:hAnsi="Times New Roman" w:eastAsia="方正仿宋简体" w:cs="Times New Roman"/>
          <w:b/>
          <w:sz w:val="32"/>
          <w:szCs w:val="32"/>
        </w:rPr>
      </w:pPr>
      <w:r>
        <w:rPr>
          <w:rFonts w:ascii="Times New Roman" w:hAnsi="Times New Roman" w:eastAsia="方正仿宋简体" w:cs="Times New Roman"/>
          <w:b/>
          <w:sz w:val="32"/>
          <w:szCs w:val="32"/>
        </w:rPr>
        <w:t xml:space="preserve">（一）绩效管理工作开展情况 </w:t>
      </w:r>
    </w:p>
    <w:p>
      <w:pPr>
        <w:spacing w:line="556" w:lineRule="exact"/>
        <w:ind w:firstLine="640"/>
        <w:jc w:val="left"/>
        <w:rPr>
          <w:rFonts w:ascii="Times New Roman" w:hAnsi="Times New Roman" w:eastAsia="方正仿宋简体" w:cs="Times New Roman"/>
          <w:sz w:val="32"/>
          <w:szCs w:val="32"/>
        </w:rPr>
      </w:pPr>
      <w:r>
        <w:rPr>
          <w:rFonts w:ascii="Times New Roman" w:hAnsi="Times New Roman" w:eastAsia="方正仿宋简体" w:cs="Times New Roman"/>
          <w:sz w:val="32"/>
          <w:szCs w:val="32"/>
        </w:rPr>
        <w:t>根据《益阳市人民政府关于全面推进预算绩效管理的实施意见》（益政发〔2013〕10号）、《益阳市财政局关于转发&lt;湖南省预算绩效管理工作规程（试行）&gt;的通知》（益财绩〔2014〕126号）、《益阳市财政局关于认真做好委托中介机构参与预算绩效管理工作的通知》（益财绩〔2015〕155号）等有关文件精神，我局组织召开了专题会议，制定了工作计划，成立了工作领导小组，组织开展全局绩效评价工作。</w:t>
      </w:r>
    </w:p>
    <w:p>
      <w:pPr>
        <w:spacing w:line="556" w:lineRule="exact"/>
        <w:ind w:firstLine="321" w:firstLineChars="100"/>
        <w:jc w:val="left"/>
        <w:rPr>
          <w:rFonts w:ascii="Times New Roman" w:hAnsi="Times New Roman" w:eastAsia="方正仿宋简体" w:cs="Times New Roman"/>
          <w:b/>
          <w:sz w:val="32"/>
          <w:szCs w:val="32"/>
        </w:rPr>
      </w:pPr>
      <w:r>
        <w:rPr>
          <w:rFonts w:ascii="Times New Roman" w:hAnsi="Times New Roman" w:eastAsia="方正仿宋简体" w:cs="Times New Roman"/>
          <w:b/>
          <w:sz w:val="32"/>
          <w:szCs w:val="32"/>
        </w:rPr>
        <w:t>（二）部门决算中项目绩效自评结果</w:t>
      </w:r>
    </w:p>
    <w:p>
      <w:pPr>
        <w:spacing w:line="556" w:lineRule="exact"/>
        <w:ind w:firstLine="480" w:firstLineChars="150"/>
        <w:jc w:val="left"/>
        <w:rPr>
          <w:rFonts w:ascii="Times New Roman" w:hAnsi="Times New Roman" w:eastAsia="方正仿宋简体" w:cs="Times New Roman"/>
          <w:sz w:val="32"/>
          <w:szCs w:val="32"/>
        </w:rPr>
      </w:pPr>
      <w:r>
        <w:rPr>
          <w:rFonts w:ascii="Times New Roman" w:hAnsi="Times New Roman" w:eastAsia="方正仿宋简体" w:cs="Times New Roman"/>
          <w:sz w:val="32"/>
          <w:szCs w:val="32"/>
        </w:rPr>
        <w:t>本单位无项目绩效。</w:t>
      </w:r>
    </w:p>
    <w:p>
      <w:pPr>
        <w:spacing w:line="556" w:lineRule="exact"/>
        <w:ind w:firstLine="321" w:firstLineChars="100"/>
        <w:jc w:val="left"/>
        <w:rPr>
          <w:rFonts w:ascii="Times New Roman" w:hAnsi="Times New Roman" w:eastAsia="方正仿宋简体" w:cs="Times New Roman"/>
          <w:b/>
          <w:sz w:val="32"/>
          <w:szCs w:val="32"/>
        </w:rPr>
      </w:pPr>
      <w:r>
        <w:rPr>
          <w:rFonts w:ascii="Times New Roman" w:hAnsi="Times New Roman" w:eastAsia="方正仿宋简体" w:cs="Times New Roman"/>
          <w:b/>
          <w:sz w:val="32"/>
          <w:szCs w:val="32"/>
        </w:rPr>
        <w:t>（三）以部门为主体开展的重点绩效评价 、结果</w:t>
      </w:r>
    </w:p>
    <w:p>
      <w:pPr>
        <w:spacing w:line="556" w:lineRule="exact"/>
        <w:ind w:firstLine="320" w:firstLineChars="100"/>
        <w:jc w:val="left"/>
        <w:rPr>
          <w:rFonts w:ascii="Times New Roman" w:hAnsi="Times New Roman" w:eastAsia="方正仿宋简体" w:cs="Times New Roman"/>
          <w:sz w:val="32"/>
          <w:szCs w:val="32"/>
        </w:rPr>
      </w:pPr>
      <w:r>
        <w:rPr>
          <w:rFonts w:ascii="Times New Roman" w:hAnsi="Times New Roman" w:eastAsia="方正仿宋简体" w:cs="Times New Roman"/>
          <w:sz w:val="32"/>
          <w:szCs w:val="32"/>
        </w:rPr>
        <w:t>2018年，市城市管理和综合执法局紧扣市委市政府中心工作，围绕打好“三大攻坚战”部署要求，以创建全国文明城市为抓手，城市环境品质不断提升。深化城管体制改革，完成住建领域管理执法职能整合；坚持“强基础、转作风、树形象”建设市民满意的新时代城管队伍；实施路（巷）长制、推进城管智慧化升级，不断创新优化城市治理方式；着力城市空间净化、序化、绿化、亮化、美化，推动违建整治“铁锤行动”、户外广告整治、城市环境空气质量综合整治等都取得突出的工作成效。</w:t>
      </w:r>
    </w:p>
    <w:p>
      <w:pPr>
        <w:spacing w:line="556" w:lineRule="exact"/>
        <w:ind w:firstLine="320" w:firstLineChars="100"/>
        <w:jc w:val="left"/>
        <w:rPr>
          <w:rFonts w:ascii="Times New Roman" w:hAnsi="Times New Roman" w:eastAsia="方正仿宋简体" w:cs="Times New Roman"/>
          <w:sz w:val="32"/>
          <w:szCs w:val="32"/>
        </w:rPr>
      </w:pPr>
      <w:r>
        <w:rPr>
          <w:rFonts w:ascii="Times New Roman" w:hAnsi="Times New Roman" w:eastAsia="方正仿宋简体" w:cs="Times New Roman"/>
          <w:sz w:val="32"/>
          <w:szCs w:val="32"/>
        </w:rPr>
        <w:t>（一）城管体制改革进一步凝聚合力。按照中央、省、市要求抓改革落地。完成了住建领域市政公用设施运行、园林绿化、路灯大桥等管理职能和质安监管、房地产等执法职能整合划转，各项工作运行顺畅。</w:t>
      </w:r>
    </w:p>
    <w:p>
      <w:pPr>
        <w:spacing w:line="556" w:lineRule="exact"/>
        <w:ind w:firstLine="320" w:firstLineChars="100"/>
        <w:jc w:val="left"/>
        <w:rPr>
          <w:rFonts w:ascii="Times New Roman" w:hAnsi="Times New Roman" w:eastAsia="方正仿宋简体" w:cs="Times New Roman"/>
          <w:sz w:val="32"/>
          <w:szCs w:val="32"/>
        </w:rPr>
      </w:pPr>
      <w:r>
        <w:rPr>
          <w:rFonts w:ascii="Times New Roman" w:hAnsi="Times New Roman" w:eastAsia="方正仿宋简体" w:cs="Times New Roman"/>
          <w:sz w:val="32"/>
          <w:szCs w:val="32"/>
        </w:rPr>
        <w:t>（二）污染防治攻坚战取得显著成效。持续推进餐饮油烟污染夏季攻势、“百日会战”等整治工作，立案处罚30余件，强制执行12件；按照“六个100%”标准推动城区渣土工地扬尘防治工作，扬尘网覆盖面积52万</w:t>
      </w:r>
      <w:r>
        <w:rPr>
          <w:rFonts w:ascii="Times New Roman" w:hAnsi="Times New Roman" w:eastAsia="仿宋" w:cs="Times New Roman"/>
          <w:sz w:val="32"/>
          <w:szCs w:val="32"/>
        </w:rPr>
        <w:t>㎡</w:t>
      </w:r>
      <w:r>
        <w:rPr>
          <w:rFonts w:ascii="Times New Roman" w:hAnsi="Times New Roman" w:eastAsia="方正仿宋简体" w:cs="Times New Roman"/>
          <w:sz w:val="32"/>
          <w:szCs w:val="32"/>
        </w:rPr>
        <w:t>；利用多功能抑尘车全城区作业，确保低层空间最大限度降尘；扎实抓好清明节、中元节等节点“禁放限烧”工作，市民燃放鞭炮现象明显少于往年。</w:t>
      </w:r>
    </w:p>
    <w:p>
      <w:pPr>
        <w:spacing w:line="556" w:lineRule="exact"/>
        <w:ind w:firstLine="320" w:firstLineChars="100"/>
        <w:jc w:val="left"/>
        <w:rPr>
          <w:rFonts w:ascii="Times New Roman" w:hAnsi="Times New Roman" w:eastAsia="方正仿宋简体" w:cs="Times New Roman"/>
          <w:sz w:val="32"/>
          <w:szCs w:val="32"/>
        </w:rPr>
      </w:pPr>
      <w:r>
        <w:rPr>
          <w:rFonts w:ascii="Times New Roman" w:hAnsi="Times New Roman" w:eastAsia="方正仿宋简体" w:cs="Times New Roman"/>
          <w:sz w:val="32"/>
          <w:szCs w:val="32"/>
        </w:rPr>
        <w:t>（三）违建整治“铁锤行动”强力推进。全市整治违法建设“铁锤行动”有序展开、强势推进。共组织拆违行动547次，全市拆除违法建筑55.67万平方米，清除抢栽抢种苗木21万多株，回填鱼塘180亩，基本实现“新发违建零增长，存量违建处置逐步归零”的工作目标。</w:t>
      </w:r>
    </w:p>
    <w:p>
      <w:pPr>
        <w:spacing w:line="556" w:lineRule="exact"/>
        <w:ind w:firstLine="320" w:firstLineChars="100"/>
        <w:jc w:val="left"/>
        <w:rPr>
          <w:rFonts w:ascii="Times New Roman" w:hAnsi="Times New Roman" w:eastAsia="方正仿宋简体" w:cs="Times New Roman"/>
          <w:sz w:val="32"/>
          <w:szCs w:val="32"/>
        </w:rPr>
      </w:pPr>
      <w:r>
        <w:rPr>
          <w:rFonts w:ascii="Times New Roman" w:hAnsi="Times New Roman" w:eastAsia="方正仿宋简体" w:cs="Times New Roman"/>
          <w:sz w:val="32"/>
          <w:szCs w:val="32"/>
        </w:rPr>
        <w:t>（四）基础设施维护管理呈现新气象。配合重点工程建设，全力推进华天辅道、康富路“堵点”治理工程的施工，完成了月塘渠等黑臭水体的整治；完成凤山路、关公路绿化提质等14个计划工程项目；重要节会期间摆放鲜花30多万盆，花卉造景20余处；建立了桥梁安全在线监测视频信息系统，共计维修桥面2400平方米；完成文昌路、华天辅道、一中辅道和秀峰路辅道路等灯改造工程和5条背街小巷路灯的升级改造，共维修路灯2万余盏次，全市路灯亮灯率达99%以上，设施完好率达98%以上。</w:t>
      </w:r>
    </w:p>
    <w:p>
      <w:pPr>
        <w:spacing w:line="556" w:lineRule="exact"/>
        <w:ind w:firstLine="320" w:firstLineChars="100"/>
        <w:jc w:val="left"/>
        <w:rPr>
          <w:rFonts w:ascii="Times New Roman" w:hAnsi="Times New Roman" w:eastAsia="方正仿宋简体" w:cs="Times New Roman"/>
          <w:sz w:val="32"/>
          <w:szCs w:val="32"/>
        </w:rPr>
      </w:pPr>
      <w:r>
        <w:rPr>
          <w:rFonts w:ascii="Times New Roman" w:hAnsi="Times New Roman" w:eastAsia="方正仿宋简体" w:cs="Times New Roman"/>
          <w:sz w:val="32"/>
          <w:szCs w:val="32"/>
        </w:rPr>
        <w:t>（五）推进“双修”城市品质不断提升。一是全面启动深度清扫清洗作业新模式，城区环境卫生清扫全覆盖、机扫无斑点、清洗见底色，持续开展“车窗抛物”整治成效明显，实质性启动餐厨垃圾和建筑垃圾两个资源化利用项目。二是严格实施《益阳市户外广告设置专项规划》，累计拆除各类广告设施1.8万多处，共计广告版面20.6万</w:t>
      </w:r>
      <w:r>
        <w:rPr>
          <w:rFonts w:ascii="Times New Roman" w:hAnsi="Times New Roman" w:eastAsia="仿宋" w:cs="Times New Roman"/>
          <w:sz w:val="32"/>
          <w:szCs w:val="32"/>
        </w:rPr>
        <w:t>㎡</w:t>
      </w:r>
      <w:r>
        <w:rPr>
          <w:rFonts w:ascii="Times New Roman" w:hAnsi="Times New Roman" w:eastAsia="方正仿宋简体" w:cs="Times New Roman"/>
          <w:sz w:val="32"/>
          <w:szCs w:val="32"/>
        </w:rPr>
        <w:t>。三是落实农村镇容村貌公共空间整治牵头任务，明确区县（市）的主体责任，加强行业指导，促进城镇管理标准向基层延伸。</w:t>
      </w:r>
    </w:p>
    <w:p>
      <w:pPr>
        <w:spacing w:line="556" w:lineRule="exact"/>
        <w:ind w:firstLine="320" w:firstLineChars="100"/>
        <w:jc w:val="left"/>
        <w:rPr>
          <w:rFonts w:ascii="Times New Roman" w:hAnsi="Times New Roman" w:eastAsia="方正仿宋简体" w:cs="Times New Roman"/>
          <w:sz w:val="32"/>
          <w:szCs w:val="32"/>
        </w:rPr>
      </w:pPr>
      <w:r>
        <w:rPr>
          <w:rFonts w:ascii="Times New Roman" w:hAnsi="Times New Roman" w:eastAsia="方正仿宋简体" w:cs="Times New Roman"/>
          <w:sz w:val="32"/>
          <w:szCs w:val="32"/>
        </w:rPr>
        <w:t>（六）深化文明城市创建管理精细化水平提高。一是认真落实城市管理组牵头工作和其他五个专项组各项工作，组建创文市民巡访团，引导市民群众积极参与创建活动。二是进一步提高行政执法水平。一般程序行政处罚案件立案462件、办结461件，办结行政强制案件18件。三是启动城市管理路（巷）长制试点工作，完成主次干道2万余家临街门店信息录入并逐户签订责任状。建立城市管理领域失信惩戒制度，改进城市治理手段。</w:t>
      </w:r>
    </w:p>
    <w:p>
      <w:pPr>
        <w:spacing w:line="556" w:lineRule="exact"/>
        <w:ind w:firstLine="320" w:firstLineChars="100"/>
        <w:jc w:val="left"/>
        <w:rPr>
          <w:rFonts w:ascii="Times New Roman" w:hAnsi="Times New Roman" w:eastAsia="方正仿宋简体" w:cs="Times New Roman"/>
          <w:sz w:val="32"/>
          <w:szCs w:val="32"/>
        </w:rPr>
      </w:pPr>
      <w:r>
        <w:rPr>
          <w:rFonts w:ascii="Times New Roman" w:hAnsi="Times New Roman" w:eastAsia="方正仿宋简体" w:cs="Times New Roman"/>
          <w:sz w:val="32"/>
          <w:szCs w:val="32"/>
        </w:rPr>
        <w:t>（七）“智慧城管”升级步伐加快。今年以来，数字城管市级平台通过各种渠道收集、受理、处置、回复各类城市问题信息11万件，处置率结案率96.59%。办理“12345”市长热线投诉1415件，办结率98.16%，派单准确率由80%上升至95.7%。完善了城市运行安全实时监测，运用物联网、云计算、大数据、BIM等现代化信息技术，开展智慧井盖、智慧环卫、智慧停车以及城市三维空间模型建库等智慧城管试点工作，得到了省住建厅认可。</w:t>
      </w:r>
    </w:p>
    <w:p>
      <w:pPr>
        <w:spacing w:line="556" w:lineRule="exact"/>
        <w:ind w:firstLine="640"/>
        <w:jc w:val="left"/>
        <w:rPr>
          <w:rFonts w:ascii="Times New Roman" w:hAnsi="Times New Roman" w:eastAsia="方正仿宋简体" w:cs="Times New Roman"/>
          <w:sz w:val="32"/>
          <w:szCs w:val="32"/>
        </w:rPr>
      </w:pPr>
    </w:p>
    <w:p>
      <w:pPr>
        <w:spacing w:line="556" w:lineRule="exact"/>
        <w:ind w:firstLine="640"/>
        <w:jc w:val="left"/>
        <w:rPr>
          <w:rFonts w:ascii="Times New Roman" w:hAnsi="Times New Roman" w:eastAsia="方正仿宋简体" w:cs="Times New Roman"/>
          <w:b/>
          <w:sz w:val="32"/>
          <w:szCs w:val="32"/>
        </w:rPr>
      </w:pPr>
      <w:r>
        <w:rPr>
          <w:rFonts w:ascii="Times New Roman" w:hAnsi="Times New Roman" w:eastAsia="方正仿宋简体" w:cs="Times New Roman"/>
          <w:b/>
          <w:sz w:val="32"/>
          <w:szCs w:val="32"/>
        </w:rPr>
        <w:t>十、其他重要事项的情况说明</w:t>
      </w:r>
    </w:p>
    <w:p>
      <w:pPr>
        <w:spacing w:line="556" w:lineRule="exact"/>
        <w:ind w:firstLine="640"/>
        <w:jc w:val="left"/>
        <w:rPr>
          <w:rFonts w:ascii="Times New Roman" w:hAnsi="Times New Roman" w:eastAsia="方正仿宋简体" w:cs="Times New Roman"/>
          <w:sz w:val="32"/>
          <w:szCs w:val="32"/>
        </w:rPr>
      </w:pPr>
      <w:r>
        <w:rPr>
          <w:rFonts w:ascii="Times New Roman" w:hAnsi="Times New Roman" w:eastAsia="方正仿宋简体" w:cs="Times New Roman"/>
          <w:sz w:val="32"/>
          <w:szCs w:val="32"/>
        </w:rPr>
        <w:t>（一）预决算收支增减变化情况</w:t>
      </w:r>
    </w:p>
    <w:p>
      <w:pPr>
        <w:spacing w:line="556" w:lineRule="exact"/>
        <w:ind w:firstLine="640"/>
        <w:jc w:val="left"/>
        <w:rPr>
          <w:rFonts w:ascii="Times New Roman" w:hAnsi="Times New Roman" w:eastAsia="方正仿宋简体" w:cs="Times New Roman"/>
          <w:sz w:val="32"/>
          <w:szCs w:val="32"/>
        </w:rPr>
      </w:pPr>
      <w:r>
        <w:rPr>
          <w:rFonts w:ascii="Times New Roman" w:hAnsi="Times New Roman" w:eastAsia="方正仿宋简体" w:cs="Times New Roman"/>
          <w:sz w:val="32"/>
          <w:szCs w:val="32"/>
        </w:rPr>
        <w:t>2018年预算收入</w:t>
      </w:r>
      <w:r>
        <w:rPr>
          <w:rFonts w:hint="eastAsia" w:ascii="Times New Roman" w:hAnsi="Times New Roman" w:eastAsia="方正仿宋简体" w:cs="Times New Roman"/>
          <w:sz w:val="32"/>
          <w:szCs w:val="32"/>
        </w:rPr>
        <w:t>4743.89</w:t>
      </w:r>
      <w:r>
        <w:rPr>
          <w:rFonts w:ascii="Times New Roman" w:hAnsi="Times New Roman" w:eastAsia="方正仿宋简体" w:cs="Times New Roman"/>
          <w:sz w:val="32"/>
          <w:szCs w:val="32"/>
        </w:rPr>
        <w:t>万元，决算收入</w:t>
      </w:r>
      <w:r>
        <w:rPr>
          <w:rFonts w:hint="eastAsia" w:ascii="Times New Roman" w:hAnsi="Times New Roman" w:eastAsia="方正仿宋简体" w:cs="Times New Roman"/>
          <w:sz w:val="32"/>
          <w:szCs w:val="32"/>
        </w:rPr>
        <w:t>5124.67</w:t>
      </w:r>
      <w:r>
        <w:rPr>
          <w:rFonts w:ascii="Times New Roman" w:hAnsi="Times New Roman" w:eastAsia="方正仿宋简体" w:cs="Times New Roman"/>
          <w:sz w:val="32"/>
          <w:szCs w:val="32"/>
        </w:rPr>
        <w:t>万元，预算收入比决算收入</w:t>
      </w:r>
      <w:r>
        <w:rPr>
          <w:rFonts w:hint="eastAsia" w:ascii="Times New Roman" w:hAnsi="Times New Roman" w:eastAsia="方正仿宋简体" w:cs="Times New Roman"/>
          <w:sz w:val="32"/>
          <w:szCs w:val="32"/>
        </w:rPr>
        <w:t>减少380.78</w:t>
      </w:r>
      <w:r>
        <w:rPr>
          <w:rFonts w:ascii="Times New Roman" w:hAnsi="Times New Roman" w:eastAsia="方正仿宋简体" w:cs="Times New Roman"/>
          <w:sz w:val="32"/>
          <w:szCs w:val="32"/>
        </w:rPr>
        <w:t>万元，</w:t>
      </w:r>
      <w:r>
        <w:rPr>
          <w:rFonts w:hint="eastAsia" w:ascii="Times New Roman" w:hAnsi="Times New Roman" w:eastAsia="方正仿宋简体" w:cs="Times New Roman"/>
          <w:sz w:val="32"/>
          <w:szCs w:val="32"/>
        </w:rPr>
        <w:t>减少</w:t>
      </w:r>
      <w:r>
        <w:rPr>
          <w:rFonts w:ascii="Times New Roman" w:hAnsi="Times New Roman" w:eastAsia="方正仿宋简体" w:cs="Times New Roman"/>
          <w:sz w:val="32"/>
          <w:szCs w:val="32"/>
        </w:rPr>
        <w:t>比例为</w:t>
      </w:r>
      <w:r>
        <w:rPr>
          <w:rFonts w:hint="eastAsia" w:ascii="Times New Roman" w:hAnsi="Times New Roman" w:eastAsia="方正仿宋简体" w:cs="Times New Roman"/>
          <w:sz w:val="32"/>
          <w:szCs w:val="32"/>
        </w:rPr>
        <w:t>7.43</w:t>
      </w:r>
      <w:r>
        <w:rPr>
          <w:rFonts w:ascii="Times New Roman" w:hAnsi="Times New Roman" w:eastAsia="方正仿宋简体" w:cs="Times New Roman"/>
          <w:sz w:val="32"/>
          <w:szCs w:val="32"/>
        </w:rPr>
        <w:t>%。2018年预算支出数</w:t>
      </w:r>
      <w:r>
        <w:rPr>
          <w:rFonts w:hint="eastAsia" w:ascii="Times New Roman" w:hAnsi="Times New Roman" w:eastAsia="方正仿宋简体" w:cs="Times New Roman"/>
          <w:sz w:val="32"/>
          <w:szCs w:val="32"/>
        </w:rPr>
        <w:t>4743.89</w:t>
      </w:r>
      <w:r>
        <w:rPr>
          <w:rFonts w:ascii="Times New Roman" w:hAnsi="Times New Roman" w:eastAsia="方正仿宋简体" w:cs="Times New Roman"/>
          <w:sz w:val="32"/>
          <w:szCs w:val="32"/>
        </w:rPr>
        <w:t>万元，决算支出数</w:t>
      </w:r>
      <w:r>
        <w:rPr>
          <w:rFonts w:hint="eastAsia" w:ascii="Times New Roman" w:hAnsi="Times New Roman" w:eastAsia="方正仿宋简体" w:cs="Times New Roman"/>
          <w:sz w:val="32"/>
          <w:szCs w:val="32"/>
        </w:rPr>
        <w:t>5124.67</w:t>
      </w:r>
      <w:r>
        <w:rPr>
          <w:rFonts w:ascii="Times New Roman" w:hAnsi="Times New Roman" w:eastAsia="方正仿宋简体" w:cs="Times New Roman"/>
          <w:sz w:val="32"/>
          <w:szCs w:val="32"/>
        </w:rPr>
        <w:t>万元，预算支出比决算支出</w:t>
      </w:r>
      <w:r>
        <w:rPr>
          <w:rFonts w:hint="eastAsia" w:ascii="Times New Roman" w:hAnsi="Times New Roman" w:eastAsia="方正仿宋简体" w:cs="Times New Roman"/>
          <w:sz w:val="32"/>
          <w:szCs w:val="32"/>
        </w:rPr>
        <w:t>减少380.78</w:t>
      </w:r>
      <w:r>
        <w:rPr>
          <w:rFonts w:ascii="Times New Roman" w:hAnsi="Times New Roman" w:eastAsia="方正仿宋简体" w:cs="Times New Roman"/>
          <w:sz w:val="32"/>
          <w:szCs w:val="32"/>
        </w:rPr>
        <w:t>万元，</w:t>
      </w:r>
      <w:r>
        <w:rPr>
          <w:rFonts w:hint="eastAsia" w:ascii="Times New Roman" w:hAnsi="Times New Roman" w:eastAsia="方正仿宋简体" w:cs="Times New Roman"/>
          <w:sz w:val="32"/>
          <w:szCs w:val="32"/>
        </w:rPr>
        <w:t>减少</w:t>
      </w:r>
      <w:r>
        <w:rPr>
          <w:rFonts w:ascii="Times New Roman" w:hAnsi="Times New Roman" w:eastAsia="方正仿宋简体" w:cs="Times New Roman"/>
          <w:sz w:val="32"/>
          <w:szCs w:val="32"/>
        </w:rPr>
        <w:t>比例为</w:t>
      </w:r>
      <w:r>
        <w:rPr>
          <w:rFonts w:hint="eastAsia" w:ascii="Times New Roman" w:hAnsi="Times New Roman" w:eastAsia="方正仿宋简体" w:cs="Times New Roman"/>
          <w:sz w:val="32"/>
          <w:szCs w:val="32"/>
        </w:rPr>
        <w:t>7.43</w:t>
      </w:r>
      <w:r>
        <w:rPr>
          <w:rFonts w:ascii="Times New Roman" w:hAnsi="Times New Roman" w:eastAsia="方正仿宋简体" w:cs="Times New Roman"/>
          <w:sz w:val="32"/>
          <w:szCs w:val="32"/>
        </w:rPr>
        <w:t>%。决算数</w:t>
      </w:r>
      <w:r>
        <w:rPr>
          <w:rFonts w:hint="eastAsia" w:ascii="Times New Roman" w:hAnsi="Times New Roman" w:eastAsia="方正仿宋简体" w:cs="Times New Roman"/>
          <w:sz w:val="32"/>
          <w:szCs w:val="32"/>
        </w:rPr>
        <w:t>大</w:t>
      </w:r>
      <w:r>
        <w:rPr>
          <w:rFonts w:ascii="Times New Roman" w:hAnsi="Times New Roman" w:eastAsia="方正仿宋简体" w:cs="Times New Roman"/>
          <w:sz w:val="32"/>
          <w:szCs w:val="32"/>
        </w:rPr>
        <w:t>于预算数的主要原因：</w:t>
      </w:r>
      <w:r>
        <w:rPr>
          <w:rFonts w:hint="eastAsia" w:ascii="Times New Roman" w:hAnsi="Times New Roman" w:eastAsia="方正仿宋简体" w:cs="Times New Roman"/>
          <w:sz w:val="32"/>
          <w:szCs w:val="32"/>
        </w:rPr>
        <w:t>2017年度部分项目资金收入在2018年到位</w:t>
      </w:r>
      <w:r>
        <w:rPr>
          <w:rFonts w:ascii="Times New Roman" w:hAnsi="Times New Roman" w:eastAsia="方正仿宋简体" w:cs="Times New Roman"/>
          <w:sz w:val="32"/>
          <w:szCs w:val="32"/>
        </w:rPr>
        <w:t>。</w:t>
      </w:r>
    </w:p>
    <w:p>
      <w:pPr>
        <w:spacing w:line="556" w:lineRule="exact"/>
        <w:ind w:firstLine="640"/>
        <w:jc w:val="left"/>
        <w:rPr>
          <w:rFonts w:ascii="Times New Roman" w:hAnsi="Times New Roman" w:eastAsia="方正仿宋简体" w:cs="Times New Roman"/>
          <w:color w:val="FF0000"/>
          <w:sz w:val="32"/>
          <w:szCs w:val="32"/>
        </w:rPr>
      </w:pPr>
      <w:r>
        <w:rPr>
          <w:rFonts w:ascii="Times New Roman" w:hAnsi="Times New Roman" w:eastAsia="方正仿宋简体" w:cs="Times New Roman"/>
          <w:sz w:val="32"/>
          <w:szCs w:val="32"/>
        </w:rPr>
        <w:t>（二）机关运行经费支出情况。</w:t>
      </w:r>
    </w:p>
    <w:p>
      <w:pPr>
        <w:spacing w:line="556" w:lineRule="exact"/>
        <w:ind w:firstLine="640" w:firstLineChars="200"/>
        <w:rPr>
          <w:rFonts w:ascii="Times New Roman" w:hAnsi="Times New Roman" w:eastAsia="方正仿宋简体" w:cs="Times New Roman"/>
          <w:sz w:val="32"/>
          <w:szCs w:val="32"/>
        </w:rPr>
      </w:pPr>
      <w:r>
        <w:rPr>
          <w:rFonts w:ascii="Times New Roman" w:hAnsi="Times New Roman" w:eastAsia="方正仿宋简体" w:cs="Times New Roman"/>
          <w:sz w:val="32"/>
          <w:szCs w:val="32"/>
        </w:rPr>
        <w:t>本部门2018年度机关运行经费支出</w:t>
      </w:r>
      <w:r>
        <w:rPr>
          <w:rFonts w:hint="eastAsia" w:ascii="Times New Roman" w:hAnsi="Times New Roman" w:eastAsia="方正仿宋简体" w:cs="Times New Roman"/>
          <w:sz w:val="32"/>
          <w:szCs w:val="32"/>
        </w:rPr>
        <w:t>239.13</w:t>
      </w:r>
      <w:r>
        <w:rPr>
          <w:rFonts w:ascii="Times New Roman" w:hAnsi="Times New Roman" w:eastAsia="方正仿宋简体" w:cs="Times New Roman"/>
          <w:sz w:val="32"/>
          <w:szCs w:val="32"/>
        </w:rPr>
        <w:t>万元，较上年减少</w:t>
      </w:r>
      <w:r>
        <w:rPr>
          <w:rFonts w:hint="eastAsia" w:ascii="Times New Roman" w:hAnsi="Times New Roman" w:eastAsia="方正仿宋简体" w:cs="Times New Roman"/>
          <w:sz w:val="32"/>
          <w:szCs w:val="32"/>
        </w:rPr>
        <w:t>162.97</w:t>
      </w:r>
      <w:r>
        <w:rPr>
          <w:rFonts w:ascii="Times New Roman" w:hAnsi="Times New Roman" w:eastAsia="方正仿宋简体" w:cs="Times New Roman"/>
          <w:sz w:val="32"/>
          <w:szCs w:val="32"/>
        </w:rPr>
        <w:t>万元，减少</w:t>
      </w:r>
      <w:r>
        <w:rPr>
          <w:rFonts w:hint="eastAsia" w:ascii="Times New Roman" w:hAnsi="Times New Roman" w:eastAsia="方正仿宋简体" w:cs="Times New Roman"/>
          <w:sz w:val="32"/>
          <w:szCs w:val="32"/>
        </w:rPr>
        <w:t>40.53</w:t>
      </w:r>
      <w:r>
        <w:rPr>
          <w:rFonts w:ascii="Times New Roman" w:hAnsi="Times New Roman" w:eastAsia="方正仿宋简体" w:cs="Times New Roman"/>
          <w:sz w:val="32"/>
          <w:szCs w:val="32"/>
        </w:rPr>
        <w:t>%，主要原因是其他商品服务支出减少。</w:t>
      </w:r>
    </w:p>
    <w:p>
      <w:pPr>
        <w:spacing w:line="556" w:lineRule="exact"/>
        <w:ind w:firstLine="640"/>
        <w:jc w:val="left"/>
        <w:rPr>
          <w:rFonts w:ascii="Times New Roman" w:hAnsi="Times New Roman" w:eastAsia="方正仿宋简体" w:cs="Times New Roman"/>
          <w:color w:val="FF0000"/>
          <w:sz w:val="32"/>
          <w:szCs w:val="32"/>
        </w:rPr>
      </w:pPr>
      <w:r>
        <w:rPr>
          <w:rFonts w:ascii="Times New Roman" w:hAnsi="Times New Roman" w:eastAsia="方正仿宋简体" w:cs="Times New Roman"/>
          <w:sz w:val="32"/>
          <w:szCs w:val="32"/>
        </w:rPr>
        <w:t>（三）政府采购支出情况。</w:t>
      </w:r>
    </w:p>
    <w:p>
      <w:pPr>
        <w:spacing w:line="556" w:lineRule="exact"/>
        <w:ind w:firstLine="640"/>
        <w:jc w:val="left"/>
        <w:rPr>
          <w:rFonts w:ascii="Times New Roman" w:hAnsi="Times New Roman" w:eastAsia="方正仿宋简体" w:cs="Times New Roman"/>
          <w:color w:val="FF0000"/>
          <w:sz w:val="32"/>
          <w:szCs w:val="32"/>
        </w:rPr>
      </w:pPr>
      <w:r>
        <w:rPr>
          <w:rFonts w:ascii="Times New Roman" w:hAnsi="Times New Roman" w:eastAsia="方正仿宋简体" w:cs="Times New Roman"/>
          <w:sz w:val="32"/>
          <w:szCs w:val="32"/>
        </w:rPr>
        <w:t>本部门2018年度政府采购291.13万元，其中政府采购工程支出18.8万元，政府采购服务支出272.33万元</w:t>
      </w:r>
    </w:p>
    <w:p>
      <w:pPr>
        <w:spacing w:line="556" w:lineRule="exact"/>
        <w:ind w:firstLine="640"/>
        <w:jc w:val="left"/>
        <w:rPr>
          <w:rFonts w:ascii="Times New Roman" w:hAnsi="Times New Roman" w:eastAsia="方正仿宋简体" w:cs="Times New Roman"/>
          <w:sz w:val="32"/>
          <w:szCs w:val="32"/>
        </w:rPr>
      </w:pPr>
      <w:r>
        <w:rPr>
          <w:rFonts w:ascii="Times New Roman" w:hAnsi="Times New Roman" w:eastAsia="方正仿宋简体" w:cs="Times New Roman"/>
          <w:sz w:val="32"/>
          <w:szCs w:val="32"/>
        </w:rPr>
        <w:t>（四）国有资产占用情况。</w:t>
      </w:r>
    </w:p>
    <w:p>
      <w:pPr>
        <w:spacing w:line="556" w:lineRule="exact"/>
        <w:ind w:firstLine="480" w:firstLineChars="150"/>
        <w:rPr>
          <w:rFonts w:ascii="Times New Roman" w:hAnsi="Times New Roman" w:eastAsia="方正仿宋简体" w:cs="Times New Roman"/>
          <w:sz w:val="32"/>
          <w:szCs w:val="32"/>
        </w:rPr>
      </w:pPr>
      <w:r>
        <w:rPr>
          <w:rFonts w:ascii="Times New Roman" w:hAnsi="Times New Roman" w:eastAsia="方正仿宋简体" w:cs="Times New Roman"/>
          <w:sz w:val="32"/>
          <w:szCs w:val="32"/>
        </w:rPr>
        <w:t>截至2018年12月31日，本部门共有车辆</w:t>
      </w:r>
      <w:r>
        <w:rPr>
          <w:rFonts w:hint="eastAsia" w:ascii="Times New Roman" w:hAnsi="Times New Roman" w:eastAsia="方正仿宋简体" w:cs="Times New Roman"/>
          <w:sz w:val="32"/>
          <w:szCs w:val="32"/>
        </w:rPr>
        <w:t>18</w:t>
      </w:r>
      <w:r>
        <w:rPr>
          <w:rFonts w:ascii="Times New Roman" w:hAnsi="Times New Roman" w:eastAsia="方正仿宋简体" w:cs="Times New Roman"/>
          <w:sz w:val="32"/>
          <w:szCs w:val="32"/>
        </w:rPr>
        <w:t>辆，其中，一般公务用车</w:t>
      </w:r>
      <w:r>
        <w:rPr>
          <w:rFonts w:hint="eastAsia" w:ascii="Times New Roman" w:hAnsi="Times New Roman" w:eastAsia="方正仿宋简体" w:cs="Times New Roman"/>
          <w:sz w:val="32"/>
          <w:szCs w:val="32"/>
        </w:rPr>
        <w:t>18</w:t>
      </w:r>
      <w:r>
        <w:rPr>
          <w:rFonts w:ascii="Times New Roman" w:hAnsi="Times New Roman" w:eastAsia="方正仿宋简体" w:cs="Times New Roman"/>
          <w:sz w:val="32"/>
          <w:szCs w:val="32"/>
        </w:rPr>
        <w:t>辆。</w:t>
      </w:r>
    </w:p>
    <w:p>
      <w:pPr>
        <w:ind w:firstLine="640"/>
        <w:jc w:val="left"/>
        <w:rPr>
          <w:rFonts w:ascii="Times New Roman" w:hAnsi="Times New Roman" w:eastAsia="方正仿宋简体" w:cs="Times New Roman"/>
          <w:sz w:val="32"/>
          <w:szCs w:val="32"/>
        </w:rPr>
      </w:pPr>
    </w:p>
    <w:p>
      <w:pPr>
        <w:ind w:firstLine="640"/>
        <w:jc w:val="left"/>
        <w:rPr>
          <w:rFonts w:ascii="Times New Roman" w:hAnsi="Times New Roman" w:eastAsia="方正仿宋简体" w:cs="Times New Roman"/>
          <w:sz w:val="32"/>
          <w:szCs w:val="32"/>
        </w:rPr>
      </w:pPr>
    </w:p>
    <w:p>
      <w:pPr>
        <w:jc w:val="center"/>
        <w:rPr>
          <w:rFonts w:ascii="方正小标宋简体" w:hAnsi="Times New Roman" w:eastAsia="方正小标宋简体" w:cs="Times New Roman"/>
          <w:sz w:val="44"/>
          <w:szCs w:val="44"/>
        </w:rPr>
      </w:pPr>
      <w:r>
        <w:rPr>
          <w:rFonts w:hint="eastAsia" w:ascii="方正小标宋简体" w:hAnsi="Times New Roman" w:eastAsia="方正小标宋简体" w:cs="Times New Roman"/>
          <w:sz w:val="44"/>
          <w:szCs w:val="44"/>
        </w:rPr>
        <w:t>第四部分 名词解释</w:t>
      </w:r>
    </w:p>
    <w:p>
      <w:pPr>
        <w:ind w:firstLine="643"/>
        <w:jc w:val="left"/>
        <w:rPr>
          <w:rFonts w:ascii="Times New Roman" w:hAnsi="Times New Roman" w:eastAsia="方正仿宋简体" w:cs="Times New Roman"/>
          <w:b/>
          <w:sz w:val="32"/>
          <w:szCs w:val="32"/>
        </w:rPr>
      </w:pPr>
    </w:p>
    <w:p>
      <w:pPr>
        <w:spacing w:line="560" w:lineRule="exact"/>
        <w:ind w:firstLine="643"/>
        <w:jc w:val="left"/>
        <w:rPr>
          <w:rFonts w:ascii="Times New Roman" w:hAnsi="Times New Roman" w:eastAsia="方正仿宋简体" w:cs="Times New Roman"/>
          <w:sz w:val="32"/>
          <w:szCs w:val="32"/>
        </w:rPr>
      </w:pPr>
      <w:r>
        <w:rPr>
          <w:rFonts w:ascii="Times New Roman" w:hAnsi="Times New Roman" w:eastAsia="方正仿宋简体" w:cs="Times New Roman"/>
          <w:b/>
          <w:sz w:val="32"/>
          <w:szCs w:val="32"/>
        </w:rPr>
        <w:t>一、财政拨款收入：</w:t>
      </w:r>
      <w:r>
        <w:rPr>
          <w:rFonts w:ascii="Times New Roman" w:hAnsi="Times New Roman" w:eastAsia="方正仿宋简体" w:cs="Times New Roman"/>
          <w:sz w:val="32"/>
          <w:szCs w:val="32"/>
        </w:rPr>
        <w:t xml:space="preserve">指中央财政当年拨付的资金。 </w:t>
      </w:r>
    </w:p>
    <w:p>
      <w:pPr>
        <w:spacing w:line="560" w:lineRule="exact"/>
        <w:ind w:firstLine="643"/>
        <w:jc w:val="left"/>
        <w:rPr>
          <w:rFonts w:ascii="Times New Roman" w:hAnsi="Times New Roman" w:eastAsia="方正仿宋简体" w:cs="Times New Roman"/>
          <w:sz w:val="32"/>
          <w:szCs w:val="32"/>
        </w:rPr>
      </w:pPr>
      <w:r>
        <w:rPr>
          <w:rFonts w:ascii="Times New Roman" w:hAnsi="Times New Roman" w:eastAsia="方正仿宋简体" w:cs="Times New Roman"/>
          <w:b/>
          <w:sz w:val="32"/>
          <w:szCs w:val="32"/>
        </w:rPr>
        <w:t>二、事业收入：</w:t>
      </w:r>
      <w:r>
        <w:rPr>
          <w:rFonts w:ascii="Times New Roman" w:hAnsi="Times New Roman" w:eastAsia="方正仿宋简体" w:cs="Times New Roman"/>
          <w:sz w:val="32"/>
          <w:szCs w:val="32"/>
        </w:rPr>
        <w:t xml:space="preserve">指事业单位开展专业业务活动及辅助活动所取得的收入。如：中国财政杂志社的刊物发行收入，中国注册会计师协会、中国资产评估协会、中国国债协会、中国会计学会收取的会费收入等。 </w:t>
      </w:r>
    </w:p>
    <w:p>
      <w:pPr>
        <w:spacing w:line="560" w:lineRule="exact"/>
        <w:ind w:firstLine="643"/>
        <w:jc w:val="left"/>
        <w:rPr>
          <w:rFonts w:ascii="Times New Roman" w:hAnsi="Times New Roman" w:eastAsia="方正仿宋简体" w:cs="Times New Roman"/>
          <w:sz w:val="32"/>
          <w:szCs w:val="32"/>
        </w:rPr>
      </w:pPr>
      <w:r>
        <w:rPr>
          <w:rFonts w:ascii="Times New Roman" w:hAnsi="Times New Roman" w:eastAsia="方正仿宋简体" w:cs="Times New Roman"/>
          <w:b/>
          <w:sz w:val="32"/>
          <w:szCs w:val="32"/>
        </w:rPr>
        <w:t>三、经营收入：</w:t>
      </w:r>
      <w:r>
        <w:rPr>
          <w:rFonts w:ascii="Times New Roman" w:hAnsi="Times New Roman" w:eastAsia="方正仿宋简体" w:cs="Times New Roman"/>
          <w:sz w:val="32"/>
          <w:szCs w:val="32"/>
        </w:rPr>
        <w:t xml:space="preserve">指事业单位在专业业务活动及其辅助活动之外开展非独立核算经营活动取得的收入。如：中国财政杂志社广告收入等。 </w:t>
      </w:r>
    </w:p>
    <w:p>
      <w:pPr>
        <w:spacing w:line="560" w:lineRule="exact"/>
        <w:ind w:firstLine="643"/>
        <w:jc w:val="left"/>
        <w:rPr>
          <w:rFonts w:ascii="Times New Roman" w:hAnsi="Times New Roman" w:eastAsia="方正仿宋简体" w:cs="Times New Roman"/>
          <w:sz w:val="32"/>
          <w:szCs w:val="32"/>
        </w:rPr>
      </w:pPr>
      <w:r>
        <w:rPr>
          <w:rFonts w:ascii="Times New Roman" w:hAnsi="Times New Roman" w:eastAsia="方正仿宋简体" w:cs="Times New Roman"/>
          <w:b/>
          <w:sz w:val="32"/>
          <w:szCs w:val="32"/>
        </w:rPr>
        <w:t>四、其他收入：</w:t>
      </w:r>
      <w:r>
        <w:rPr>
          <w:rFonts w:ascii="Times New Roman" w:hAnsi="Times New Roman" w:eastAsia="方正仿宋简体" w:cs="Times New Roman"/>
          <w:sz w:val="32"/>
          <w:szCs w:val="32"/>
        </w:rPr>
        <w:t xml:space="preserve">指除上述“财政拨款收入” 、 “事业收入” 、“经营收入”等以外的收入。主要是按规定动用的售房收入、存款利息收入等。 </w:t>
      </w:r>
    </w:p>
    <w:p>
      <w:pPr>
        <w:spacing w:line="560" w:lineRule="exact"/>
        <w:ind w:firstLine="643"/>
        <w:jc w:val="left"/>
        <w:rPr>
          <w:rFonts w:ascii="Times New Roman" w:hAnsi="Times New Roman" w:eastAsia="方正仿宋简体" w:cs="Times New Roman"/>
          <w:sz w:val="32"/>
          <w:szCs w:val="32"/>
        </w:rPr>
      </w:pPr>
      <w:r>
        <w:rPr>
          <w:rFonts w:ascii="Times New Roman" w:hAnsi="Times New Roman" w:eastAsia="方正仿宋简体" w:cs="Times New Roman"/>
          <w:b/>
          <w:sz w:val="32"/>
          <w:szCs w:val="32"/>
        </w:rPr>
        <w:t>五、用事业基金弥补收支差额：</w:t>
      </w:r>
      <w:r>
        <w:rPr>
          <w:rFonts w:ascii="Times New Roman" w:hAnsi="Times New Roman" w:eastAsia="方正仿宋简体" w:cs="Times New Roman"/>
          <w:sz w:val="32"/>
          <w:szCs w:val="32"/>
        </w:rPr>
        <w:t xml:space="preserve">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 </w:t>
      </w:r>
    </w:p>
    <w:p>
      <w:pPr>
        <w:spacing w:line="560" w:lineRule="exact"/>
        <w:ind w:firstLine="643"/>
        <w:jc w:val="left"/>
        <w:rPr>
          <w:rFonts w:ascii="Times New Roman" w:hAnsi="Times New Roman" w:eastAsia="方正仿宋简体" w:cs="Times New Roman"/>
          <w:sz w:val="32"/>
          <w:szCs w:val="32"/>
        </w:rPr>
      </w:pPr>
      <w:r>
        <w:rPr>
          <w:rFonts w:ascii="Times New Roman" w:hAnsi="Times New Roman" w:eastAsia="方正仿宋简体" w:cs="Times New Roman"/>
          <w:b/>
          <w:sz w:val="32"/>
          <w:szCs w:val="32"/>
        </w:rPr>
        <w:t>六、年初结转和结余：</w:t>
      </w:r>
      <w:r>
        <w:rPr>
          <w:rFonts w:ascii="Times New Roman" w:hAnsi="Times New Roman" w:eastAsia="方正仿宋简体" w:cs="Times New Roman"/>
          <w:sz w:val="32"/>
          <w:szCs w:val="32"/>
        </w:rPr>
        <w:t xml:space="preserve">指以前年度尚未完成、结转到本年按有关规定继续使用的资金。 </w:t>
      </w:r>
    </w:p>
    <w:p>
      <w:pPr>
        <w:spacing w:line="560" w:lineRule="exact"/>
        <w:ind w:firstLine="643"/>
        <w:jc w:val="left"/>
        <w:rPr>
          <w:rFonts w:ascii="Times New Roman" w:hAnsi="Times New Roman" w:eastAsia="方正仿宋简体" w:cs="Times New Roman"/>
          <w:sz w:val="32"/>
          <w:szCs w:val="32"/>
        </w:rPr>
      </w:pPr>
      <w:r>
        <w:rPr>
          <w:rFonts w:ascii="Times New Roman" w:hAnsi="Times New Roman" w:eastAsia="方正仿宋简体" w:cs="Times New Roman"/>
          <w:b/>
          <w:sz w:val="32"/>
          <w:szCs w:val="32"/>
        </w:rPr>
        <w:t>七、结余分配：</w:t>
      </w:r>
      <w:r>
        <w:rPr>
          <w:rFonts w:ascii="Times New Roman" w:hAnsi="Times New Roman" w:eastAsia="方正仿宋简体" w:cs="Times New Roman"/>
          <w:sz w:val="32"/>
          <w:szCs w:val="32"/>
        </w:rPr>
        <w:t>指事业单位按规定提取的职工福利基金、事业基金和缴纳的所得税，以及建设单位按规定应交回的基本建设竣工项目结余资金。</w:t>
      </w:r>
    </w:p>
    <w:p>
      <w:pPr>
        <w:spacing w:line="560" w:lineRule="exact"/>
        <w:ind w:firstLine="643"/>
        <w:jc w:val="left"/>
        <w:rPr>
          <w:rFonts w:ascii="Times New Roman" w:hAnsi="Times New Roman" w:eastAsia="方正仿宋简体" w:cs="Times New Roman"/>
          <w:sz w:val="32"/>
          <w:szCs w:val="32"/>
        </w:rPr>
      </w:pPr>
      <w:r>
        <w:rPr>
          <w:rFonts w:ascii="Times New Roman" w:hAnsi="Times New Roman" w:eastAsia="方正仿宋简体" w:cs="Times New Roman"/>
          <w:b/>
          <w:sz w:val="32"/>
          <w:szCs w:val="32"/>
        </w:rPr>
        <w:t>八、年末结转和结余：</w:t>
      </w:r>
      <w:r>
        <w:rPr>
          <w:rFonts w:ascii="Times New Roman" w:hAnsi="Times New Roman" w:eastAsia="方正仿宋简体" w:cs="Times New Roman"/>
          <w:sz w:val="32"/>
          <w:szCs w:val="32"/>
        </w:rPr>
        <w:t xml:space="preserve">指本年度或以前年度预算安排、因客观条件发生变化无法按原计划实施，需要延迟到以后年度按有关规定继续使用的资金。 </w:t>
      </w:r>
    </w:p>
    <w:p>
      <w:pPr>
        <w:spacing w:line="560" w:lineRule="exact"/>
        <w:ind w:firstLine="643"/>
        <w:jc w:val="left"/>
        <w:rPr>
          <w:rFonts w:ascii="Times New Roman" w:hAnsi="Times New Roman" w:eastAsia="方正仿宋简体" w:cs="Times New Roman"/>
          <w:sz w:val="32"/>
          <w:szCs w:val="32"/>
        </w:rPr>
      </w:pPr>
      <w:r>
        <w:rPr>
          <w:rFonts w:ascii="Times New Roman" w:hAnsi="Times New Roman" w:eastAsia="方正仿宋简体" w:cs="Times New Roman"/>
          <w:b/>
          <w:sz w:val="32"/>
          <w:szCs w:val="32"/>
        </w:rPr>
        <w:t>九、基本支出：</w:t>
      </w:r>
      <w:r>
        <w:rPr>
          <w:rFonts w:ascii="Times New Roman" w:hAnsi="Times New Roman" w:eastAsia="方正仿宋简体" w:cs="Times New Roman"/>
          <w:sz w:val="32"/>
          <w:szCs w:val="32"/>
        </w:rPr>
        <w:t>指为保障机构正常运转、完成日常工</w:t>
      </w:r>
    </w:p>
    <w:p>
      <w:pPr>
        <w:spacing w:line="560" w:lineRule="exact"/>
        <w:jc w:val="left"/>
        <w:rPr>
          <w:rFonts w:ascii="Times New Roman" w:hAnsi="Times New Roman" w:eastAsia="方正仿宋简体" w:cs="Times New Roman"/>
          <w:sz w:val="32"/>
          <w:szCs w:val="32"/>
        </w:rPr>
      </w:pPr>
      <w:r>
        <w:rPr>
          <w:rFonts w:ascii="Times New Roman" w:hAnsi="Times New Roman" w:eastAsia="方正仿宋简体" w:cs="Times New Roman"/>
          <w:sz w:val="32"/>
          <w:szCs w:val="32"/>
        </w:rPr>
        <w:t xml:space="preserve">作任务而发生的人员支出和公用支出。 </w:t>
      </w:r>
    </w:p>
    <w:p>
      <w:pPr>
        <w:spacing w:line="560" w:lineRule="exact"/>
        <w:ind w:firstLine="643"/>
        <w:jc w:val="left"/>
        <w:rPr>
          <w:rFonts w:ascii="Times New Roman" w:hAnsi="Times New Roman" w:eastAsia="方正仿宋简体" w:cs="Times New Roman"/>
          <w:sz w:val="32"/>
          <w:szCs w:val="32"/>
        </w:rPr>
      </w:pPr>
      <w:r>
        <w:rPr>
          <w:rFonts w:ascii="Times New Roman" w:hAnsi="Times New Roman" w:eastAsia="方正仿宋简体" w:cs="Times New Roman"/>
          <w:b/>
          <w:sz w:val="32"/>
          <w:szCs w:val="32"/>
        </w:rPr>
        <w:t>十、项目支出：</w:t>
      </w:r>
      <w:r>
        <w:rPr>
          <w:rFonts w:ascii="Times New Roman" w:hAnsi="Times New Roman" w:eastAsia="方正仿宋简体" w:cs="Times New Roman"/>
          <w:sz w:val="32"/>
          <w:szCs w:val="32"/>
        </w:rPr>
        <w:t xml:space="preserve">指在基本支出之外为完成特定行政任务和事业发展目标所发生的支出。 </w:t>
      </w:r>
    </w:p>
    <w:p>
      <w:pPr>
        <w:spacing w:line="560" w:lineRule="exact"/>
        <w:ind w:firstLine="643"/>
        <w:jc w:val="left"/>
        <w:rPr>
          <w:rFonts w:ascii="Times New Roman" w:hAnsi="Times New Roman" w:eastAsia="方正仿宋简体" w:cs="Times New Roman"/>
          <w:sz w:val="32"/>
          <w:szCs w:val="32"/>
        </w:rPr>
      </w:pPr>
      <w:r>
        <w:rPr>
          <w:rFonts w:ascii="Times New Roman" w:hAnsi="Times New Roman" w:eastAsia="方正仿宋简体" w:cs="Times New Roman"/>
          <w:b/>
          <w:sz w:val="32"/>
          <w:szCs w:val="32"/>
        </w:rPr>
        <w:t>十一、经营支出：</w:t>
      </w:r>
      <w:r>
        <w:rPr>
          <w:rFonts w:ascii="Times New Roman" w:hAnsi="Times New Roman" w:eastAsia="方正仿宋简体" w:cs="Times New Roman"/>
          <w:sz w:val="32"/>
          <w:szCs w:val="32"/>
        </w:rPr>
        <w:t xml:space="preserve">指事业单位在专业业务活动及其辅助活动之外开展非独立核算经营活动发生的支出。 </w:t>
      </w:r>
    </w:p>
    <w:p>
      <w:pPr>
        <w:spacing w:line="560" w:lineRule="exact"/>
        <w:ind w:firstLine="643"/>
        <w:jc w:val="left"/>
        <w:rPr>
          <w:rFonts w:ascii="Times New Roman" w:hAnsi="Times New Roman" w:eastAsia="方正仿宋简体" w:cs="Times New Roman"/>
          <w:sz w:val="32"/>
          <w:szCs w:val="32"/>
        </w:rPr>
      </w:pPr>
      <w:r>
        <w:rPr>
          <w:rFonts w:ascii="Times New Roman" w:hAnsi="Times New Roman" w:eastAsia="方正仿宋简体" w:cs="Times New Roman"/>
          <w:b/>
          <w:sz w:val="32"/>
          <w:szCs w:val="32"/>
        </w:rPr>
        <w:t>十二、“三公”经费：</w:t>
      </w:r>
      <w:r>
        <w:rPr>
          <w:rFonts w:ascii="Times New Roman" w:hAnsi="Times New Roman" w:eastAsia="方正仿宋简体" w:cs="Times New Roman"/>
          <w:sz w:val="32"/>
          <w:szCs w:val="32"/>
        </w:rPr>
        <w:t xml:space="preserve">纳入中央财政预决算管理的“三公”经费，是指中央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 </w:t>
      </w:r>
    </w:p>
    <w:p>
      <w:pPr>
        <w:spacing w:line="560" w:lineRule="exact"/>
        <w:ind w:firstLine="643"/>
        <w:jc w:val="left"/>
        <w:rPr>
          <w:rFonts w:ascii="Times New Roman" w:hAnsi="Times New Roman" w:eastAsia="方正仿宋简体" w:cs="Times New Roman"/>
          <w:sz w:val="32"/>
          <w:szCs w:val="32"/>
        </w:rPr>
      </w:pPr>
      <w:r>
        <w:rPr>
          <w:rFonts w:ascii="Times New Roman" w:hAnsi="Times New Roman" w:eastAsia="方正仿宋简体" w:cs="Times New Roman"/>
          <w:b/>
          <w:sz w:val="32"/>
          <w:szCs w:val="32"/>
        </w:rPr>
        <w:t>十三、机关运行经费：</w:t>
      </w:r>
      <w:r>
        <w:rPr>
          <w:rFonts w:ascii="Times New Roman" w:hAnsi="Times New Roman" w:eastAsia="方正仿宋简体" w:cs="Times New Roman"/>
          <w:sz w:val="32"/>
          <w:szCs w:val="32"/>
        </w:rPr>
        <w:t>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jc w:val="left"/>
        <w:rPr>
          <w:rFonts w:ascii="仿宋" w:hAnsi="仿宋" w:eastAsia="仿宋" w:cs="仿宋"/>
          <w:sz w:val="32"/>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方正仿宋简体">
    <w:panose1 w:val="02010601030101010101"/>
    <w:charset w:val="86"/>
    <w:family w:val="auto"/>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711FFA3"/>
    <w:multiLevelType w:val="singleLevel"/>
    <w:tmpl w:val="6711FFA3"/>
    <w:lvl w:ilvl="0" w:tentative="0">
      <w:start w:val="2"/>
      <w:numFmt w:val="chineseCounting"/>
      <w:suff w:val="space"/>
      <w:lvlText w:val="第%1部分"/>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characterSpacingControl w:val="doNotCompress"/>
  <w:compat>
    <w:useFELayout/>
    <w:compatSetting w:name="compatibilityMode" w:uri="http://schemas.microsoft.com/office/word" w:val="12"/>
  </w:compat>
  <w:rsids>
    <w:rsidRoot w:val="00361F25"/>
    <w:rsid w:val="00080FC1"/>
    <w:rsid w:val="0009133B"/>
    <w:rsid w:val="000A693F"/>
    <w:rsid w:val="000B1CAC"/>
    <w:rsid w:val="000C6A3B"/>
    <w:rsid w:val="0011267F"/>
    <w:rsid w:val="001352FB"/>
    <w:rsid w:val="00181140"/>
    <w:rsid w:val="0026520A"/>
    <w:rsid w:val="002865C1"/>
    <w:rsid w:val="002A6F55"/>
    <w:rsid w:val="00335CDF"/>
    <w:rsid w:val="00361F25"/>
    <w:rsid w:val="003638A2"/>
    <w:rsid w:val="00373999"/>
    <w:rsid w:val="00391071"/>
    <w:rsid w:val="003F3950"/>
    <w:rsid w:val="004550AF"/>
    <w:rsid w:val="004C4C2F"/>
    <w:rsid w:val="004F2129"/>
    <w:rsid w:val="00511B7F"/>
    <w:rsid w:val="00571836"/>
    <w:rsid w:val="00572A32"/>
    <w:rsid w:val="00582244"/>
    <w:rsid w:val="005A4D53"/>
    <w:rsid w:val="005F5D55"/>
    <w:rsid w:val="006563D7"/>
    <w:rsid w:val="00691E56"/>
    <w:rsid w:val="006B0E55"/>
    <w:rsid w:val="006B1F6C"/>
    <w:rsid w:val="006F68B4"/>
    <w:rsid w:val="0073038D"/>
    <w:rsid w:val="00732CB0"/>
    <w:rsid w:val="0074272D"/>
    <w:rsid w:val="007922B1"/>
    <w:rsid w:val="00795D85"/>
    <w:rsid w:val="007A79B5"/>
    <w:rsid w:val="007B2BC1"/>
    <w:rsid w:val="007E0699"/>
    <w:rsid w:val="007E3EC0"/>
    <w:rsid w:val="00813084"/>
    <w:rsid w:val="00833AD8"/>
    <w:rsid w:val="0083695D"/>
    <w:rsid w:val="0084629F"/>
    <w:rsid w:val="008A2C62"/>
    <w:rsid w:val="008B2569"/>
    <w:rsid w:val="008B70C9"/>
    <w:rsid w:val="00972F72"/>
    <w:rsid w:val="009B4C5A"/>
    <w:rsid w:val="00A435FD"/>
    <w:rsid w:val="00B27C51"/>
    <w:rsid w:val="00B44575"/>
    <w:rsid w:val="00B62334"/>
    <w:rsid w:val="00B96A0E"/>
    <w:rsid w:val="00BC70D4"/>
    <w:rsid w:val="00BD0975"/>
    <w:rsid w:val="00C53BD9"/>
    <w:rsid w:val="00C91346"/>
    <w:rsid w:val="00C946E2"/>
    <w:rsid w:val="00CA2CF2"/>
    <w:rsid w:val="00CE2287"/>
    <w:rsid w:val="00CE6066"/>
    <w:rsid w:val="00CE7502"/>
    <w:rsid w:val="00D10038"/>
    <w:rsid w:val="00D12589"/>
    <w:rsid w:val="00D17263"/>
    <w:rsid w:val="00D6310C"/>
    <w:rsid w:val="00D647F0"/>
    <w:rsid w:val="00D65122"/>
    <w:rsid w:val="00DA41AE"/>
    <w:rsid w:val="00E013B1"/>
    <w:rsid w:val="00E01DAD"/>
    <w:rsid w:val="00E53683"/>
    <w:rsid w:val="00F25F02"/>
    <w:rsid w:val="00F322AD"/>
    <w:rsid w:val="00F35C36"/>
    <w:rsid w:val="00F607AE"/>
    <w:rsid w:val="00F94200"/>
    <w:rsid w:val="00FA49AF"/>
    <w:rsid w:val="00FD13CA"/>
    <w:rsid w:val="00FD45CF"/>
    <w:rsid w:val="086A30FA"/>
    <w:rsid w:val="28A00D01"/>
    <w:rsid w:val="53484C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semiHidden/>
    <w:unhideWhenUsed/>
    <w:uiPriority w:val="99"/>
    <w:pPr>
      <w:tabs>
        <w:tab w:val="center" w:pos="4153"/>
        <w:tab w:val="right" w:pos="8306"/>
      </w:tabs>
      <w:snapToGrid w:val="0"/>
      <w:jc w:val="left"/>
    </w:pPr>
    <w:rPr>
      <w:sz w:val="18"/>
      <w:szCs w:val="18"/>
    </w:rPr>
  </w:style>
  <w:style w:type="paragraph" w:styleId="3">
    <w:name w:val="header"/>
    <w:basedOn w:val="1"/>
    <w:link w:val="7"/>
    <w:semiHidden/>
    <w:unhideWhenUsed/>
    <w:uiPriority w:val="99"/>
    <w:pPr>
      <w:pBdr>
        <w:bottom w:val="single" w:color="auto" w:sz="6" w:space="1"/>
      </w:pBdr>
      <w:tabs>
        <w:tab w:val="center" w:pos="4153"/>
        <w:tab w:val="right" w:pos="8306"/>
      </w:tabs>
      <w:snapToGrid w:val="0"/>
      <w:jc w:val="center"/>
    </w:pPr>
    <w:rPr>
      <w:sz w:val="18"/>
      <w:szCs w:val="18"/>
    </w:rPr>
  </w:style>
  <w:style w:type="character" w:styleId="6">
    <w:name w:val="Hyperlink"/>
    <w:basedOn w:val="5"/>
    <w:unhideWhenUsed/>
    <w:uiPriority w:val="99"/>
    <w:rPr>
      <w:color w:val="0000FF" w:themeColor="hyperlink"/>
      <w:u w:val="single"/>
    </w:rPr>
  </w:style>
  <w:style w:type="character" w:customStyle="1" w:styleId="7">
    <w:name w:val="页眉 Char"/>
    <w:basedOn w:val="5"/>
    <w:link w:val="3"/>
    <w:semiHidden/>
    <w:uiPriority w:val="99"/>
    <w:rPr>
      <w:sz w:val="18"/>
      <w:szCs w:val="18"/>
    </w:rPr>
  </w:style>
  <w:style w:type="character" w:customStyle="1" w:styleId="8">
    <w:name w:val="页脚 Char"/>
    <w:basedOn w:val="5"/>
    <w:link w:val="2"/>
    <w:semiHidden/>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14</Pages>
  <Words>1054</Words>
  <Characters>6008</Characters>
  <Lines>50</Lines>
  <Paragraphs>14</Paragraphs>
  <TotalTime>2</TotalTime>
  <ScaleCrop>false</ScaleCrop>
  <LinksUpToDate>false</LinksUpToDate>
  <CharactersWithSpaces>7048</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2019-07-03T08:37:00Z</dcterms:created>
  <dc:creator>Administrator</dc:creator>
  <cp:lastModifiedBy>Administrator</cp:lastModifiedBy>
  <dcterms:modified xsi:type="dcterms:W3CDTF">2021-05-24T01:24:11Z</dcterms:modified>
  <cp:revision>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CFC2FB5354A646CB94B8E960375D0990</vt:lpwstr>
  </property>
</Properties>
</file>