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rPr>
        <w:t>益阳市北峰山国有林场</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rPr>
        <w:t>益阳市北峰山国有林场</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rPr>
        <w:t>益阳市北峰山国有林场</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宋体" w:hAnsi="宋体" w:eastAsia="宋体" w:cs="宋体"/>
          <w:sz w:val="44"/>
        </w:rPr>
        <w:t>益阳市北峰山国有林场</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pStyle w:val="10"/>
        <w:widowControl/>
        <w:shd w:val="clear" w:color="auto" w:fill="FFFFFF"/>
        <w:spacing w:line="269" w:lineRule="atLeast"/>
        <w:ind w:left="720" w:firstLine="0" w:firstLineChars="0"/>
        <w:jc w:val="left"/>
        <w:rPr>
          <w:rFonts w:ascii="仿宋" w:hAnsi="仿宋" w:eastAsia="仿宋" w:cs="仿宋"/>
          <w:sz w:val="32"/>
        </w:rPr>
      </w:pPr>
      <w:r>
        <w:rPr>
          <w:rFonts w:hint="eastAsia" w:ascii="仿宋" w:hAnsi="仿宋" w:eastAsia="仿宋" w:cs="仿宋"/>
          <w:sz w:val="32"/>
        </w:rPr>
        <w:t>益阳市北峰山国有林场属于公益一类的全额事业单位，主要职能为1、保护森林资源、促进林业发展，森林资源培育与开发利用；2、森林资源的规划、设计、调查；3、林业科研，成果推广应用4、公园规划建设、管理和资源保护。</w:t>
      </w:r>
    </w:p>
    <w:p>
      <w:pPr>
        <w:ind w:left="795" w:hanging="795"/>
        <w:rPr>
          <w:rFonts w:ascii="黑体" w:hAnsi="黑体" w:eastAsia="黑体" w:cs="黑体"/>
          <w:sz w:val="32"/>
        </w:rPr>
      </w:pPr>
      <w:r>
        <w:rPr>
          <w:rFonts w:ascii="黑体" w:hAnsi="黑体" w:eastAsia="黑体" w:cs="黑体"/>
          <w:sz w:val="32"/>
        </w:rPr>
        <w:t>二、机构设置</w:t>
      </w:r>
    </w:p>
    <w:p>
      <w:pPr>
        <w:ind w:left="792" w:leftChars="377"/>
        <w:rPr>
          <w:rFonts w:ascii="仿宋" w:hAnsi="仿宋" w:eastAsia="仿宋" w:cs="仿宋"/>
          <w:sz w:val="32"/>
        </w:rPr>
      </w:pPr>
      <w:r>
        <w:rPr>
          <w:rFonts w:hint="eastAsia" w:ascii="仿宋" w:hAnsi="仿宋" w:eastAsia="仿宋" w:cs="仿宋"/>
          <w:sz w:val="32"/>
        </w:rPr>
        <w:t>单位内设</w:t>
      </w:r>
      <w:r>
        <w:rPr>
          <w:rFonts w:hint="eastAsia" w:ascii="仿宋" w:hAnsi="仿宋" w:eastAsia="仿宋" w:cs="仿宋"/>
          <w:sz w:val="32"/>
          <w:lang w:val="en-US" w:eastAsia="zh-CN"/>
        </w:rPr>
        <w:t>5</w:t>
      </w:r>
      <w:r>
        <w:rPr>
          <w:rFonts w:hint="eastAsia" w:ascii="仿宋" w:hAnsi="仿宋" w:eastAsia="仿宋" w:cs="仿宋"/>
          <w:sz w:val="32"/>
        </w:rPr>
        <w:t>个科室，分别为综合科、计划财务科、林调队、安全保卫科、科研生产科。</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ascii="仿宋" w:hAnsi="仿宋" w:eastAsia="仿宋" w:cs="仿宋"/>
          <w:sz w:val="32"/>
        </w:rPr>
        <w:t>从决算单位构成看，</w:t>
      </w:r>
      <w:r>
        <w:rPr>
          <w:rFonts w:hint="eastAsia" w:ascii="仿宋" w:hAnsi="仿宋" w:eastAsia="仿宋" w:cs="仿宋"/>
          <w:sz w:val="32"/>
        </w:rPr>
        <w:t>益阳市国有北峰山林场</w:t>
      </w:r>
      <w:r>
        <w:rPr>
          <w:rFonts w:ascii="仿宋" w:hAnsi="仿宋" w:eastAsia="仿宋" w:cs="仿宋"/>
          <w:sz w:val="32"/>
        </w:rPr>
        <w:t>部门决算包括：</w:t>
      </w:r>
      <w:r>
        <w:rPr>
          <w:rFonts w:hint="eastAsia" w:ascii="仿宋" w:hAnsi="仿宋" w:eastAsia="仿宋" w:cs="仿宋"/>
          <w:sz w:val="32"/>
        </w:rPr>
        <w:t>无</w:t>
      </w:r>
      <w:r>
        <w:rPr>
          <w:rFonts w:ascii="仿宋" w:hAnsi="仿宋" w:eastAsia="仿宋" w:cs="仿宋"/>
          <w:sz w:val="32"/>
        </w:rPr>
        <w:t>下属单位决算</w:t>
      </w:r>
      <w:r>
        <w:rPr>
          <w:rFonts w:hint="eastAsia" w:ascii="仿宋" w:hAnsi="仿宋" w:eastAsia="仿宋" w:cs="仿宋"/>
          <w:sz w:val="32"/>
        </w:rPr>
        <w:t>。</w:t>
      </w:r>
    </w:p>
    <w:p>
      <w:pPr>
        <w:ind w:firstLine="640"/>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r>
        <w:rPr>
          <w:rFonts w:hint="eastAsia" w:ascii="宋体" w:hAnsi="宋体" w:eastAsia="宋体" w:cs="宋体"/>
          <w:sz w:val="44"/>
        </w:rPr>
        <w:t>益阳市北峰山国有林场</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hint="eastAsia"/>
        </w:rPr>
        <w:drawing>
          <wp:inline distT="0" distB="0" distL="0" distR="0">
            <wp:extent cx="5274310" cy="3895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274310" cy="3895725"/>
                    </a:xfrm>
                    <a:prstGeom prst="rect">
                      <a:avLst/>
                    </a:prstGeom>
                    <a:noFill/>
                    <a:ln>
                      <a:noFill/>
                    </a:ln>
                  </pic:spPr>
                </pic:pic>
              </a:graphicData>
            </a:graphic>
          </wp:inline>
        </w:drawing>
      </w: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hint="eastAsia"/>
        </w:rPr>
        <w:drawing>
          <wp:inline distT="0" distB="0" distL="0" distR="0">
            <wp:extent cx="5274310" cy="53149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274310" cy="5314950"/>
                    </a:xfrm>
                    <a:prstGeom prst="rect">
                      <a:avLst/>
                    </a:prstGeom>
                    <a:noFill/>
                    <a:ln>
                      <a:noFill/>
                    </a:ln>
                  </pic:spPr>
                </pic:pic>
              </a:graphicData>
            </a:graphic>
          </wp:inline>
        </w:drawing>
      </w: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hint="eastAsia"/>
        </w:rPr>
        <w:drawing>
          <wp:inline distT="0" distB="0" distL="0" distR="0">
            <wp:extent cx="5274310" cy="5991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4310" cy="5991225"/>
                    </a:xfrm>
                    <a:prstGeom prst="rect">
                      <a:avLst/>
                    </a:prstGeom>
                    <a:noFill/>
                    <a:ln>
                      <a:noFill/>
                    </a:ln>
                  </pic:spPr>
                </pic:pic>
              </a:graphicData>
            </a:graphic>
          </wp:inline>
        </w:drawing>
      </w: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hint="eastAsia"/>
        </w:rPr>
        <w:drawing>
          <wp:inline distT="0" distB="0" distL="0" distR="0">
            <wp:extent cx="5274310" cy="43624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4362450"/>
                    </a:xfrm>
                    <a:prstGeom prst="rect">
                      <a:avLst/>
                    </a:prstGeom>
                    <a:noFill/>
                    <a:ln>
                      <a:noFill/>
                    </a:ln>
                  </pic:spPr>
                </pic:pic>
              </a:graphicData>
            </a:graphic>
          </wp:inline>
        </w:drawing>
      </w: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hint="eastAsia"/>
        </w:rPr>
        <w:drawing>
          <wp:inline distT="0" distB="0" distL="0" distR="0">
            <wp:extent cx="5274310" cy="50958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5095875"/>
                    </a:xfrm>
                    <a:prstGeom prst="rect">
                      <a:avLst/>
                    </a:prstGeom>
                    <a:noFill/>
                    <a:ln>
                      <a:noFill/>
                    </a:ln>
                  </pic:spPr>
                </pic:pic>
              </a:graphicData>
            </a:graphic>
          </wp:inline>
        </w:drawing>
      </w: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hint="eastAsia"/>
        </w:rPr>
        <w:drawing>
          <wp:inline distT="0" distB="0" distL="0" distR="0">
            <wp:extent cx="5274310" cy="61785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74310" cy="6178550"/>
                    </a:xfrm>
                    <a:prstGeom prst="rect">
                      <a:avLst/>
                    </a:prstGeom>
                    <a:noFill/>
                    <a:ln>
                      <a:noFill/>
                    </a:ln>
                  </pic:spPr>
                </pic:pic>
              </a:graphicData>
            </a:graphic>
          </wp:inline>
        </w:drawing>
      </w: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hint="eastAsia"/>
        </w:rPr>
        <w:drawing>
          <wp:inline distT="0" distB="0" distL="0" distR="0">
            <wp:extent cx="5274310" cy="515747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74310" cy="5157470"/>
                    </a:xfrm>
                    <a:prstGeom prst="rect">
                      <a:avLst/>
                    </a:prstGeom>
                    <a:noFill/>
                    <a:ln>
                      <a:noFill/>
                    </a:ln>
                  </pic:spPr>
                </pic:pic>
              </a:graphicData>
            </a:graphic>
          </wp:inline>
        </w:drawing>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sz w:val="32"/>
        </w:rPr>
      </w:pPr>
      <w:r>
        <w:rPr>
          <w:rFonts w:hint="eastAsia"/>
        </w:rPr>
        <w:drawing>
          <wp:inline distT="0" distB="0" distL="0" distR="0">
            <wp:extent cx="5274310" cy="167195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74310" cy="1671955"/>
                    </a:xfrm>
                    <a:prstGeom prst="rect">
                      <a:avLst/>
                    </a:prstGeom>
                    <a:noFill/>
                    <a:ln>
                      <a:noFill/>
                    </a:ln>
                  </pic:spPr>
                </pic:pic>
              </a:graphicData>
            </a:graphic>
          </wp:inline>
        </w:drawing>
      </w:r>
    </w:p>
    <w:p>
      <w:pPr>
        <w:ind w:firstLine="643"/>
        <w:jc w:val="left"/>
        <w:rPr>
          <w:rFonts w:ascii="仿宋" w:hAnsi="仿宋" w:eastAsia="仿宋" w:cs="仿宋"/>
          <w:sz w:val="32"/>
        </w:rPr>
      </w:pPr>
      <w:r>
        <w:rPr>
          <w:rFonts w:ascii="仿宋" w:hAnsi="仿宋" w:eastAsia="仿宋" w:cs="仿宋"/>
          <w:sz w:val="32"/>
        </w:rPr>
        <w:t>表8无数据，</w:t>
      </w:r>
      <w:r>
        <w:rPr>
          <w:rFonts w:hint="eastAsia" w:ascii="仿宋" w:hAnsi="仿宋" w:eastAsia="仿宋" w:cs="仿宋"/>
          <w:sz w:val="32"/>
        </w:rPr>
        <w:t>益阳市北峰山国有林场</w:t>
      </w:r>
      <w:r>
        <w:rPr>
          <w:rFonts w:ascii="仿宋" w:hAnsi="仿宋" w:eastAsia="仿宋" w:cs="仿宋"/>
          <w:sz w:val="32"/>
        </w:rPr>
        <w:t>没有政府性基金收入，也没有政府性基金安排的支出，故本表无数据。</w:t>
      </w: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宋体" w:hAnsi="宋体" w:eastAsia="宋体" w:cs="宋体"/>
          <w:sz w:val="44"/>
        </w:rPr>
        <w:t>益阳市北峰山国有林场</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rPr>
        <w:t>益阳市北峰山国有林场</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ascii="仿宋" w:hAnsi="仿宋" w:eastAsia="仿宋" w:cs="仿宋"/>
          <w:sz w:val="32"/>
        </w:rPr>
      </w:pPr>
      <w:r>
        <w:rPr>
          <w:rFonts w:hint="eastAsia" w:ascii="仿宋" w:hAnsi="仿宋" w:eastAsia="仿宋" w:cs="仿宋"/>
          <w:sz w:val="32"/>
        </w:rPr>
        <w:t>益阳市北峰山国有林场</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rPr>
        <w:t>4</w:t>
      </w:r>
      <w:r>
        <w:rPr>
          <w:rFonts w:ascii="仿宋" w:hAnsi="仿宋" w:eastAsia="仿宋" w:cs="仿宋"/>
          <w:sz w:val="32"/>
        </w:rPr>
        <w:t>86.3万元，比上年同期减少40.9万元，下降7.8%；支出总计481.04万元，比上年同期减少116.93万元，下降19.6%；。主要原因：</w:t>
      </w:r>
      <w:r>
        <w:rPr>
          <w:rFonts w:hint="eastAsia" w:ascii="仿宋" w:hAnsi="仿宋" w:eastAsia="仿宋" w:cs="仿宋"/>
          <w:sz w:val="32"/>
        </w:rPr>
        <w:t>2</w:t>
      </w:r>
      <w:r>
        <w:rPr>
          <w:rFonts w:ascii="仿宋" w:hAnsi="仿宋" w:eastAsia="仿宋" w:cs="仿宋"/>
          <w:sz w:val="32"/>
        </w:rPr>
        <w:t>019</w:t>
      </w:r>
      <w:r>
        <w:rPr>
          <w:rFonts w:hint="eastAsia" w:ascii="仿宋" w:hAnsi="仿宋" w:eastAsia="仿宋" w:cs="仿宋"/>
          <w:sz w:val="32"/>
        </w:rPr>
        <w:t>年基本建设项目减少。</w:t>
      </w:r>
    </w:p>
    <w:p>
      <w:pPr>
        <w:ind w:left="72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rPr>
        <w:t>益阳市北峰山国有林场</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 486.3 万元，其中：财政拨款收入436.07万元，占89.7%；事业收入26.12万元，占5.3%；经营收入0万元，占0%；其他收入24.1万元，占5%</w:t>
      </w:r>
      <w:r>
        <w:rPr>
          <w:rFonts w:hint="eastAsia" w:ascii="仿宋" w:hAnsi="仿宋" w:eastAsia="仿宋" w:cs="仿宋"/>
          <w:sz w:val="32"/>
        </w:rPr>
        <w:t>。</w:t>
      </w:r>
    </w:p>
    <w:p>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rPr>
        <w:t>益阳市北峰山国有林场</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rPr>
        <w:t>481.04</w:t>
      </w:r>
      <w:r>
        <w:rPr>
          <w:rFonts w:ascii="仿宋" w:hAnsi="仿宋" w:eastAsia="仿宋" w:cs="仿宋"/>
          <w:sz w:val="32"/>
        </w:rPr>
        <w:t>万元，其中：基本支出</w:t>
      </w:r>
      <w:r>
        <w:rPr>
          <w:rFonts w:hint="eastAsia" w:ascii="仿宋" w:hAnsi="仿宋" w:eastAsia="仿宋" w:cs="仿宋"/>
          <w:sz w:val="32"/>
        </w:rPr>
        <w:t>439.91</w:t>
      </w:r>
      <w:r>
        <w:rPr>
          <w:rFonts w:ascii="仿宋" w:hAnsi="仿宋" w:eastAsia="仿宋" w:cs="仿宋"/>
          <w:sz w:val="32"/>
        </w:rPr>
        <w:t>万元，占</w:t>
      </w:r>
      <w:r>
        <w:rPr>
          <w:rFonts w:hint="eastAsia" w:ascii="仿宋" w:hAnsi="仿宋" w:eastAsia="仿宋" w:cs="仿宋"/>
          <w:sz w:val="32"/>
        </w:rPr>
        <w:t>91.4</w:t>
      </w:r>
      <w:r>
        <w:rPr>
          <w:rFonts w:ascii="仿宋" w:hAnsi="仿宋" w:eastAsia="仿宋" w:cs="仿宋"/>
          <w:sz w:val="32"/>
        </w:rPr>
        <w:t>%；项目支出</w:t>
      </w:r>
      <w:r>
        <w:rPr>
          <w:rFonts w:hint="eastAsia" w:ascii="仿宋" w:hAnsi="仿宋" w:eastAsia="仿宋" w:cs="仿宋"/>
          <w:sz w:val="32"/>
        </w:rPr>
        <w:t>41.13</w:t>
      </w:r>
      <w:r>
        <w:rPr>
          <w:rFonts w:ascii="仿宋" w:hAnsi="仿宋" w:eastAsia="仿宋" w:cs="仿宋"/>
          <w:sz w:val="32"/>
        </w:rPr>
        <w:t xml:space="preserve"> 万元，占</w:t>
      </w:r>
      <w:r>
        <w:rPr>
          <w:rFonts w:hint="eastAsia" w:ascii="仿宋" w:hAnsi="仿宋" w:eastAsia="仿宋" w:cs="仿宋"/>
          <w:sz w:val="32"/>
        </w:rPr>
        <w:t>8.6</w:t>
      </w:r>
      <w:r>
        <w:rPr>
          <w:rFonts w:ascii="仿宋" w:hAnsi="仿宋" w:eastAsia="仿宋" w:cs="仿宋"/>
          <w:sz w:val="32"/>
        </w:rPr>
        <w:t>%；经营支出</w:t>
      </w:r>
      <w:r>
        <w:rPr>
          <w:rFonts w:hint="eastAsia" w:ascii="仿宋" w:hAnsi="仿宋" w:eastAsia="仿宋" w:cs="仿宋"/>
          <w:sz w:val="32"/>
        </w:rPr>
        <w:t>0</w:t>
      </w:r>
      <w:r>
        <w:rPr>
          <w:rFonts w:ascii="仿宋" w:hAnsi="仿宋" w:eastAsia="仿宋" w:cs="仿宋"/>
          <w:sz w:val="32"/>
        </w:rPr>
        <w:t xml:space="preserve">万元，占 </w:t>
      </w:r>
      <w:r>
        <w:rPr>
          <w:rFonts w:hint="eastAsia" w:ascii="仿宋" w:hAnsi="仿宋" w:eastAsia="仿宋" w:cs="仿宋"/>
          <w:sz w:val="32"/>
        </w:rPr>
        <w:t>0</w:t>
      </w:r>
      <w:r>
        <w:rPr>
          <w:rFonts w:ascii="仿宋" w:hAnsi="仿宋" w:eastAsia="仿宋" w:cs="仿宋"/>
          <w:sz w:val="32"/>
        </w:rPr>
        <w:t>%</w:t>
      </w:r>
      <w:r>
        <w:rPr>
          <w:rFonts w:hint="eastAsia" w:ascii="仿宋" w:hAnsi="仿宋" w:eastAsia="仿宋" w:cs="仿宋"/>
          <w:sz w:val="32"/>
        </w:rPr>
        <w:t>。</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rPr>
        <w:t>益阳市北峰山国有林场</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rPr>
        <w:t>436.07</w:t>
      </w:r>
      <w:r>
        <w:rPr>
          <w:rFonts w:ascii="仿宋" w:hAnsi="仿宋" w:eastAsia="仿宋" w:cs="仿宋"/>
          <w:sz w:val="32"/>
        </w:rPr>
        <w:t>万元，比上年同期增加</w:t>
      </w:r>
      <w:r>
        <w:rPr>
          <w:rFonts w:hint="eastAsia" w:ascii="仿宋" w:hAnsi="仿宋" w:eastAsia="仿宋" w:cs="仿宋"/>
          <w:sz w:val="32"/>
        </w:rPr>
        <w:t>39.33</w:t>
      </w:r>
      <w:r>
        <w:rPr>
          <w:rFonts w:ascii="仿宋" w:hAnsi="仿宋" w:eastAsia="仿宋" w:cs="仿宋"/>
          <w:sz w:val="32"/>
        </w:rPr>
        <w:t>万元，增长</w:t>
      </w:r>
      <w:r>
        <w:rPr>
          <w:rFonts w:hint="eastAsia" w:ascii="仿宋" w:hAnsi="仿宋" w:eastAsia="仿宋" w:cs="仿宋"/>
          <w:sz w:val="32"/>
        </w:rPr>
        <w:t>9.9</w:t>
      </w:r>
      <w:r>
        <w:rPr>
          <w:rFonts w:ascii="仿宋" w:hAnsi="仿宋" w:eastAsia="仿宋" w:cs="仿宋"/>
          <w:sz w:val="32"/>
        </w:rPr>
        <w:t>%；财政拨款支出总计</w:t>
      </w:r>
      <w:r>
        <w:rPr>
          <w:rFonts w:hint="eastAsia" w:ascii="仿宋" w:hAnsi="仿宋" w:eastAsia="仿宋" w:cs="仿宋"/>
          <w:sz w:val="32"/>
        </w:rPr>
        <w:t>387.94</w:t>
      </w:r>
      <w:r>
        <w:rPr>
          <w:rFonts w:ascii="仿宋" w:hAnsi="仿宋" w:eastAsia="仿宋" w:cs="仿宋"/>
          <w:sz w:val="32"/>
        </w:rPr>
        <w:t>万元，比上年同期减少</w:t>
      </w:r>
      <w:r>
        <w:rPr>
          <w:rFonts w:hint="eastAsia" w:ascii="仿宋" w:hAnsi="仿宋" w:eastAsia="仿宋" w:cs="仿宋"/>
          <w:sz w:val="32"/>
        </w:rPr>
        <w:t>93.39</w:t>
      </w:r>
      <w:r>
        <w:rPr>
          <w:rFonts w:ascii="仿宋" w:hAnsi="仿宋" w:eastAsia="仿宋" w:cs="仿宋"/>
          <w:sz w:val="32"/>
        </w:rPr>
        <w:t>万元，下降</w:t>
      </w:r>
      <w:r>
        <w:rPr>
          <w:rFonts w:hint="eastAsia" w:ascii="仿宋" w:hAnsi="仿宋" w:eastAsia="仿宋" w:cs="仿宋"/>
          <w:sz w:val="32"/>
        </w:rPr>
        <w:t>19.4</w:t>
      </w:r>
      <w:r>
        <w:rPr>
          <w:rFonts w:ascii="仿宋" w:hAnsi="仿宋" w:eastAsia="仿宋" w:cs="仿宋"/>
          <w:sz w:val="32"/>
        </w:rPr>
        <w:t>%。主要原因：</w:t>
      </w:r>
    </w:p>
    <w:p>
      <w:pPr>
        <w:jc w:val="left"/>
        <w:rPr>
          <w:rFonts w:ascii="仿宋" w:hAnsi="仿宋" w:eastAsia="仿宋" w:cs="仿宋"/>
          <w:sz w:val="32"/>
        </w:rPr>
      </w:pPr>
      <w:r>
        <w:rPr>
          <w:rFonts w:hint="eastAsia" w:ascii="仿宋" w:hAnsi="仿宋" w:eastAsia="仿宋" w:cs="仿宋"/>
          <w:sz w:val="32"/>
        </w:rPr>
        <w:t>2019年度财政拨款收入增加是人员工资待遇增加，财政拨款支出减少是财政项目支出减少。</w:t>
      </w: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rPr>
        <w:t>益阳市北峰山国有林场</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年度一般公共预算财政拨款收入总计436.07万元，比上年同期增加39.33万元，增长9.9%；一般公共预算财政拨款支出总计387.94万元，比上年同期减少93.39万元，下降19.4%。主要原因：</w:t>
      </w:r>
      <w:r>
        <w:rPr>
          <w:rFonts w:hint="eastAsia" w:ascii="仿宋" w:hAnsi="仿宋" w:eastAsia="仿宋" w:cs="仿宋"/>
          <w:sz w:val="32"/>
        </w:rPr>
        <w:t>2019年度一般公共预算财政拨款收入增加是人员工资待遇增加，一般公共预算财政拨款支出减少是财政项目支出减少。</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ind w:firstLine="320"/>
        <w:jc w:val="left"/>
        <w:rPr>
          <w:rFonts w:ascii="楷体" w:hAnsi="楷体" w:eastAsia="楷体" w:cs="楷体"/>
          <w:sz w:val="32"/>
        </w:rPr>
      </w:pPr>
      <w:r>
        <w:rPr>
          <w:rFonts w:hint="eastAsia" w:ascii="楷体" w:hAnsi="楷体" w:eastAsia="楷体" w:cs="楷体"/>
          <w:sz w:val="32"/>
        </w:rPr>
        <w:t>2019 年度财政拨款支出</w:t>
      </w:r>
      <w:r>
        <w:rPr>
          <w:rFonts w:ascii="仿宋" w:hAnsi="仿宋" w:eastAsia="仿宋" w:cs="仿宋"/>
          <w:sz w:val="32"/>
        </w:rPr>
        <w:t>387.94</w:t>
      </w:r>
      <w:r>
        <w:rPr>
          <w:rFonts w:hint="eastAsia" w:ascii="楷体" w:hAnsi="楷体" w:eastAsia="楷体" w:cs="楷体"/>
          <w:sz w:val="32"/>
        </w:rPr>
        <w:t>万元，主要用于以下方面： 一般公共服务（类）支出</w:t>
      </w:r>
      <w:r>
        <w:rPr>
          <w:rFonts w:ascii="仿宋" w:hAnsi="仿宋" w:eastAsia="仿宋" w:cs="仿宋"/>
          <w:sz w:val="32"/>
        </w:rPr>
        <w:t>0</w:t>
      </w:r>
      <w:r>
        <w:rPr>
          <w:rFonts w:hint="eastAsia" w:ascii="楷体" w:hAnsi="楷体" w:eastAsia="楷体" w:cs="楷体"/>
          <w:sz w:val="32"/>
        </w:rPr>
        <w:t xml:space="preserve"> 万元，占 </w:t>
      </w:r>
      <w:r>
        <w:rPr>
          <w:rFonts w:ascii="仿宋" w:hAnsi="仿宋" w:eastAsia="仿宋" w:cs="仿宋"/>
          <w:sz w:val="32"/>
        </w:rPr>
        <w:t>0</w:t>
      </w:r>
      <w:r>
        <w:rPr>
          <w:rFonts w:hint="eastAsia" w:ascii="楷体" w:hAnsi="楷体" w:eastAsia="楷体" w:cs="楷体"/>
          <w:sz w:val="32"/>
        </w:rPr>
        <w:t xml:space="preserve">%； 外交（类）支出 </w:t>
      </w:r>
      <w:r>
        <w:rPr>
          <w:rFonts w:ascii="仿宋" w:hAnsi="仿宋" w:eastAsia="仿宋" w:cs="仿宋"/>
          <w:sz w:val="32"/>
        </w:rPr>
        <w:t>0</w:t>
      </w:r>
      <w:r>
        <w:rPr>
          <w:rFonts w:hint="eastAsia" w:ascii="楷体" w:hAnsi="楷体" w:eastAsia="楷体" w:cs="楷体"/>
          <w:sz w:val="32"/>
        </w:rPr>
        <w:t xml:space="preserve"> 万元，占</w:t>
      </w:r>
      <w:r>
        <w:rPr>
          <w:rFonts w:ascii="仿宋" w:hAnsi="仿宋" w:eastAsia="仿宋" w:cs="仿宋"/>
          <w:sz w:val="32"/>
        </w:rPr>
        <w:t>0</w:t>
      </w:r>
      <w:r>
        <w:rPr>
          <w:rFonts w:hint="eastAsia" w:ascii="楷体" w:hAnsi="楷体" w:eastAsia="楷体" w:cs="楷体"/>
          <w:sz w:val="32"/>
        </w:rPr>
        <w:t>%； 教育（类）支出</w:t>
      </w:r>
      <w:r>
        <w:rPr>
          <w:rFonts w:ascii="仿宋" w:hAnsi="仿宋" w:eastAsia="仿宋" w:cs="仿宋"/>
          <w:sz w:val="32"/>
        </w:rPr>
        <w:t>4.54</w:t>
      </w:r>
      <w:r>
        <w:rPr>
          <w:rFonts w:hint="eastAsia" w:ascii="楷体" w:hAnsi="楷体" w:eastAsia="楷体" w:cs="楷体"/>
          <w:sz w:val="32"/>
        </w:rPr>
        <w:t>万元，占</w:t>
      </w:r>
      <w:r>
        <w:rPr>
          <w:rFonts w:ascii="仿宋" w:hAnsi="仿宋" w:eastAsia="仿宋" w:cs="仿宋"/>
          <w:sz w:val="32"/>
        </w:rPr>
        <w:t>1.2</w:t>
      </w:r>
      <w:r>
        <w:rPr>
          <w:rFonts w:hint="eastAsia" w:ascii="楷体" w:hAnsi="楷体" w:eastAsia="楷体" w:cs="楷体"/>
          <w:sz w:val="32"/>
        </w:rPr>
        <w:t>%； 科学技术（类）支出</w:t>
      </w:r>
      <w:r>
        <w:rPr>
          <w:rFonts w:ascii="仿宋" w:hAnsi="仿宋" w:eastAsia="仿宋" w:cs="仿宋"/>
          <w:sz w:val="32"/>
        </w:rPr>
        <w:t>292.93</w:t>
      </w:r>
      <w:r>
        <w:rPr>
          <w:rFonts w:hint="eastAsia" w:ascii="楷体" w:hAnsi="楷体" w:eastAsia="楷体" w:cs="楷体"/>
          <w:sz w:val="32"/>
        </w:rPr>
        <w:t xml:space="preserve">万元，占 </w:t>
      </w:r>
      <w:r>
        <w:rPr>
          <w:rFonts w:ascii="仿宋" w:hAnsi="仿宋" w:eastAsia="仿宋" w:cs="仿宋"/>
          <w:sz w:val="32"/>
        </w:rPr>
        <w:t>75.5</w:t>
      </w:r>
      <w:r>
        <w:rPr>
          <w:rFonts w:hint="eastAsia" w:ascii="楷体" w:hAnsi="楷体" w:eastAsia="楷体" w:cs="楷体"/>
          <w:sz w:val="32"/>
        </w:rPr>
        <w:t>%； 社会保障和就业（类）支出</w:t>
      </w:r>
      <w:r>
        <w:rPr>
          <w:rFonts w:ascii="仿宋" w:hAnsi="仿宋" w:eastAsia="仿宋" w:cs="仿宋"/>
          <w:sz w:val="32"/>
        </w:rPr>
        <w:t>5.01</w:t>
      </w:r>
      <w:r>
        <w:rPr>
          <w:rFonts w:hint="eastAsia" w:ascii="楷体" w:hAnsi="楷体" w:eastAsia="楷体" w:cs="楷体"/>
          <w:sz w:val="32"/>
        </w:rPr>
        <w:t>万元，占</w:t>
      </w:r>
      <w:r>
        <w:rPr>
          <w:rFonts w:ascii="仿宋" w:hAnsi="仿宋" w:eastAsia="仿宋" w:cs="仿宋"/>
          <w:sz w:val="32"/>
        </w:rPr>
        <w:t>1.3</w:t>
      </w:r>
      <w:r>
        <w:rPr>
          <w:rFonts w:hint="eastAsia" w:ascii="楷体" w:hAnsi="楷体" w:eastAsia="楷体" w:cs="楷体"/>
          <w:sz w:val="32"/>
        </w:rPr>
        <w:t>%；住房保障（类）支出</w:t>
      </w:r>
      <w:r>
        <w:rPr>
          <w:rFonts w:ascii="仿宋" w:hAnsi="仿宋" w:eastAsia="仿宋" w:cs="仿宋"/>
          <w:sz w:val="32"/>
        </w:rPr>
        <w:t>24.09</w:t>
      </w:r>
      <w:r>
        <w:rPr>
          <w:rFonts w:hint="eastAsia" w:ascii="楷体" w:hAnsi="楷体" w:eastAsia="楷体" w:cs="楷体"/>
          <w:sz w:val="32"/>
        </w:rPr>
        <w:t>万元，占</w:t>
      </w:r>
      <w:r>
        <w:rPr>
          <w:rFonts w:ascii="仿宋" w:hAnsi="仿宋" w:eastAsia="仿宋" w:cs="仿宋"/>
          <w:sz w:val="32"/>
        </w:rPr>
        <w:t>6.2</w:t>
      </w:r>
      <w:r>
        <w:rPr>
          <w:rFonts w:hint="eastAsia" w:ascii="楷体" w:hAnsi="楷体" w:eastAsia="楷体" w:cs="楷体"/>
          <w:sz w:val="32"/>
        </w:rPr>
        <w:t xml:space="preserve">%; 文化旅游体育与传媒（类）支出 </w:t>
      </w:r>
      <w:r>
        <w:rPr>
          <w:rFonts w:ascii="仿宋" w:hAnsi="仿宋" w:eastAsia="仿宋" w:cs="仿宋"/>
          <w:sz w:val="32"/>
        </w:rPr>
        <w:t>0</w:t>
      </w:r>
      <w:r>
        <w:rPr>
          <w:rFonts w:hint="eastAsia" w:ascii="楷体" w:hAnsi="楷体" w:eastAsia="楷体" w:cs="楷体"/>
          <w:sz w:val="32"/>
        </w:rPr>
        <w:t xml:space="preserve"> 万元, 占</w:t>
      </w:r>
      <w:r>
        <w:rPr>
          <w:rFonts w:ascii="仿宋" w:hAnsi="仿宋" w:eastAsia="仿宋" w:cs="仿宋"/>
          <w:sz w:val="32"/>
        </w:rPr>
        <w:t>0</w:t>
      </w:r>
      <w:r>
        <w:rPr>
          <w:rFonts w:hint="eastAsia" w:ascii="楷体" w:hAnsi="楷体" w:eastAsia="楷体" w:cs="楷体"/>
          <w:sz w:val="32"/>
        </w:rPr>
        <w:t>%， 卫生健康（类）支出</w:t>
      </w:r>
      <w:r>
        <w:rPr>
          <w:rFonts w:ascii="仿宋" w:hAnsi="仿宋" w:eastAsia="仿宋" w:cs="仿宋"/>
          <w:sz w:val="32"/>
        </w:rPr>
        <w:t>0</w:t>
      </w:r>
      <w:r>
        <w:rPr>
          <w:rFonts w:hint="eastAsia" w:ascii="仿宋" w:hAnsi="仿宋" w:eastAsia="仿宋" w:cs="仿宋"/>
          <w:sz w:val="32"/>
        </w:rPr>
        <w:t>万元</w:t>
      </w:r>
      <w:r>
        <w:rPr>
          <w:rFonts w:hint="eastAsia" w:ascii="楷体" w:hAnsi="楷体" w:eastAsia="楷体" w:cs="楷体"/>
          <w:sz w:val="32"/>
        </w:rPr>
        <w:t>，占</w:t>
      </w:r>
      <w:r>
        <w:rPr>
          <w:rFonts w:ascii="仿宋" w:hAnsi="仿宋" w:eastAsia="仿宋" w:cs="仿宋"/>
          <w:sz w:val="32"/>
        </w:rPr>
        <w:t>0</w:t>
      </w:r>
      <w:r>
        <w:rPr>
          <w:rFonts w:hint="eastAsia" w:ascii="楷体" w:hAnsi="楷体" w:eastAsia="楷体" w:cs="楷体"/>
          <w:sz w:val="32"/>
        </w:rPr>
        <w:t>%， 农林水（类）支出</w:t>
      </w:r>
      <w:r>
        <w:rPr>
          <w:rFonts w:ascii="仿宋" w:hAnsi="仿宋" w:eastAsia="仿宋" w:cs="仿宋"/>
          <w:sz w:val="32"/>
        </w:rPr>
        <w:t>57.36</w:t>
      </w:r>
      <w:r>
        <w:rPr>
          <w:rFonts w:hint="eastAsia" w:ascii="楷体" w:hAnsi="楷体" w:eastAsia="楷体" w:cs="楷体"/>
          <w:sz w:val="32"/>
        </w:rPr>
        <w:t xml:space="preserve"> 万元，占</w:t>
      </w:r>
      <w:r>
        <w:rPr>
          <w:rFonts w:ascii="仿宋" w:hAnsi="仿宋" w:eastAsia="仿宋" w:cs="仿宋"/>
          <w:sz w:val="32"/>
        </w:rPr>
        <w:t>14.8</w:t>
      </w:r>
      <w:r>
        <w:rPr>
          <w:rFonts w:hint="eastAsia" w:ascii="楷体" w:hAnsi="楷体" w:eastAsia="楷体" w:cs="楷体"/>
          <w:sz w:val="32"/>
        </w:rPr>
        <w:t>%；节能环保（类）支出4万元，占1%。</w:t>
      </w:r>
    </w:p>
    <w:p>
      <w:pPr>
        <w:jc w:val="left"/>
        <w:rPr>
          <w:rFonts w:ascii="楷体" w:hAnsi="楷体" w:eastAsia="楷体" w:cs="楷体"/>
          <w:sz w:val="32"/>
        </w:rPr>
      </w:pPr>
      <w:r>
        <w:rPr>
          <w:rFonts w:ascii="仿宋" w:hAnsi="仿宋" w:eastAsia="仿宋" w:cs="仿宋"/>
          <w:sz w:val="32"/>
        </w:rPr>
        <w:t xml:space="preserve">  </w:t>
      </w:r>
      <w:r>
        <w:rPr>
          <w:rFonts w:ascii="楷体" w:hAnsi="楷体" w:eastAsia="楷体" w:cs="楷体"/>
          <w:sz w:val="32"/>
        </w:rPr>
        <w:t>（三）一般公共预算财政拨款支出决算具体情况。</w:t>
      </w:r>
    </w:p>
    <w:p>
      <w:pPr>
        <w:ind w:firstLine="320"/>
        <w:jc w:val="left"/>
        <w:rPr>
          <w:rFonts w:ascii="楷体" w:hAnsi="楷体" w:eastAsia="楷体" w:cs="楷体"/>
          <w:sz w:val="32"/>
        </w:rPr>
      </w:pPr>
      <w:r>
        <w:rPr>
          <w:rFonts w:hint="eastAsia" w:ascii="楷体" w:hAnsi="楷体" w:eastAsia="楷体" w:cs="楷体"/>
          <w:sz w:val="32"/>
        </w:rPr>
        <w:t xml:space="preserve">2019 年度财政拨款支出年初预算为 </w:t>
      </w:r>
      <w:r>
        <w:rPr>
          <w:rFonts w:ascii="仿宋" w:hAnsi="仿宋" w:eastAsia="仿宋" w:cs="仿宋"/>
          <w:sz w:val="32"/>
        </w:rPr>
        <w:t>322.46</w:t>
      </w:r>
      <w:r>
        <w:rPr>
          <w:rFonts w:hint="eastAsia" w:ascii="楷体" w:hAnsi="楷体" w:eastAsia="楷体" w:cs="楷体"/>
          <w:sz w:val="32"/>
        </w:rPr>
        <w:t xml:space="preserve"> 万元，支出决算为</w:t>
      </w:r>
      <w:r>
        <w:rPr>
          <w:rFonts w:ascii="仿宋" w:hAnsi="仿宋" w:eastAsia="仿宋" w:cs="仿宋"/>
          <w:sz w:val="32"/>
        </w:rPr>
        <w:t>387.94</w:t>
      </w:r>
      <w:r>
        <w:rPr>
          <w:rFonts w:hint="eastAsia" w:ascii="楷体" w:hAnsi="楷体" w:eastAsia="楷体" w:cs="楷体"/>
          <w:sz w:val="32"/>
        </w:rPr>
        <w:t xml:space="preserve">万元，完成年初预算的 </w:t>
      </w:r>
      <w:r>
        <w:rPr>
          <w:rFonts w:ascii="仿宋" w:hAnsi="仿宋" w:eastAsia="仿宋" w:cs="仿宋"/>
          <w:sz w:val="32"/>
        </w:rPr>
        <w:t>120.3</w:t>
      </w:r>
      <w:r>
        <w:rPr>
          <w:rFonts w:hint="eastAsia" w:ascii="楷体" w:hAnsi="楷体" w:eastAsia="楷体" w:cs="楷体"/>
          <w:sz w:val="32"/>
        </w:rPr>
        <w:t>%。其中：</w:t>
      </w:r>
    </w:p>
    <w:p>
      <w:pPr>
        <w:ind w:firstLine="640"/>
        <w:jc w:val="left"/>
        <w:rPr>
          <w:rFonts w:ascii="仿宋" w:hAnsi="仿宋" w:eastAsia="仿宋" w:cs="仿宋"/>
          <w:sz w:val="32"/>
        </w:rPr>
      </w:pPr>
      <w:r>
        <w:rPr>
          <w:rFonts w:ascii="仿宋" w:hAnsi="仿宋" w:eastAsia="仿宋" w:cs="仿宋"/>
          <w:sz w:val="32"/>
        </w:rPr>
        <w:t>1.</w:t>
      </w:r>
      <w:r>
        <w:rPr>
          <w:rFonts w:hint="eastAsia" w:ascii="仿宋" w:hAnsi="仿宋" w:eastAsia="仿宋" w:cs="仿宋"/>
          <w:sz w:val="32"/>
        </w:rPr>
        <w:t xml:space="preserve"> 科学技术支出</w:t>
      </w:r>
      <w:r>
        <w:rPr>
          <w:rFonts w:ascii="仿宋" w:hAnsi="仿宋" w:eastAsia="仿宋" w:cs="仿宋"/>
          <w:sz w:val="32"/>
        </w:rPr>
        <w:t>（类）</w:t>
      </w:r>
      <w:r>
        <w:rPr>
          <w:rFonts w:hint="eastAsia" w:ascii="仿宋" w:hAnsi="仿宋" w:eastAsia="仿宋" w:cs="仿宋"/>
          <w:sz w:val="32"/>
        </w:rPr>
        <w:t>基础研究</w:t>
      </w:r>
      <w:r>
        <w:rPr>
          <w:rFonts w:ascii="仿宋" w:hAnsi="仿宋" w:eastAsia="仿宋" w:cs="仿宋"/>
          <w:sz w:val="32"/>
        </w:rPr>
        <w:t>（款）</w:t>
      </w:r>
      <w:r>
        <w:rPr>
          <w:rFonts w:hint="eastAsia" w:ascii="仿宋" w:hAnsi="仿宋" w:eastAsia="仿宋" w:cs="仿宋"/>
          <w:sz w:val="32"/>
        </w:rPr>
        <w:t>机构运行</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282.04万元，</w:t>
      </w:r>
      <w:r>
        <w:rPr>
          <w:rFonts w:hint="eastAsia" w:ascii="仿宋" w:hAnsi="仿宋" w:eastAsia="仿宋" w:cs="仿宋"/>
          <w:sz w:val="32"/>
        </w:rPr>
        <w:t>支出决算为</w:t>
      </w:r>
      <w:r>
        <w:rPr>
          <w:rFonts w:ascii="仿宋" w:hAnsi="仿宋" w:eastAsia="仿宋" w:cs="仿宋"/>
          <w:sz w:val="32"/>
        </w:rPr>
        <w:t xml:space="preserve"> 292.93万元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竹类、林木资源的研究；决算大于预算主要是年中增加了预算。</w:t>
      </w:r>
    </w:p>
    <w:p>
      <w:pPr>
        <w:ind w:firstLine="640"/>
        <w:jc w:val="left"/>
        <w:rPr>
          <w:rFonts w:ascii="仿宋" w:hAnsi="仿宋" w:eastAsia="仿宋" w:cs="仿宋"/>
          <w:sz w:val="32"/>
        </w:rPr>
      </w:pPr>
      <w:r>
        <w:rPr>
          <w:rFonts w:ascii="仿宋" w:hAnsi="仿宋" w:eastAsia="仿宋" w:cs="仿宋"/>
          <w:sz w:val="32"/>
        </w:rPr>
        <w:t xml:space="preserve">2. </w:t>
      </w:r>
      <w:r>
        <w:rPr>
          <w:rFonts w:hint="eastAsia" w:ascii="仿宋" w:hAnsi="仿宋" w:eastAsia="仿宋" w:cs="仿宋"/>
          <w:sz w:val="32"/>
        </w:rPr>
        <w:t>卫生健康支出</w:t>
      </w:r>
      <w:r>
        <w:rPr>
          <w:rFonts w:ascii="仿宋" w:hAnsi="仿宋" w:eastAsia="仿宋" w:cs="仿宋"/>
          <w:sz w:val="32"/>
        </w:rPr>
        <w:t>（类）</w:t>
      </w:r>
      <w:r>
        <w:rPr>
          <w:rFonts w:hint="eastAsia" w:ascii="仿宋" w:hAnsi="仿宋" w:eastAsia="仿宋" w:cs="仿宋"/>
          <w:sz w:val="32"/>
        </w:rPr>
        <w:t>行政事业单位医疗</w:t>
      </w:r>
      <w:r>
        <w:rPr>
          <w:rFonts w:ascii="仿宋" w:hAnsi="仿宋" w:eastAsia="仿宋" w:cs="仿宋"/>
          <w:sz w:val="32"/>
        </w:rPr>
        <w:t>（款）</w:t>
      </w:r>
      <w:r>
        <w:rPr>
          <w:rFonts w:hint="eastAsia" w:ascii="仿宋" w:hAnsi="仿宋" w:eastAsia="仿宋" w:cs="仿宋"/>
          <w:sz w:val="32"/>
        </w:rPr>
        <w:t>事业单位医疗</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16.33万元，</w:t>
      </w:r>
      <w:r>
        <w:rPr>
          <w:rFonts w:hint="eastAsia" w:ascii="仿宋" w:hAnsi="仿宋" w:eastAsia="仿宋" w:cs="仿宋"/>
          <w:sz w:val="32"/>
        </w:rPr>
        <w:t>支出决算为</w:t>
      </w:r>
      <w:r>
        <w:rPr>
          <w:rFonts w:ascii="仿宋" w:hAnsi="仿宋" w:eastAsia="仿宋" w:cs="仿宋"/>
          <w:sz w:val="32"/>
        </w:rPr>
        <w:t>0万元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未拨款。</w:t>
      </w:r>
    </w:p>
    <w:p>
      <w:pPr>
        <w:ind w:firstLine="640"/>
        <w:jc w:val="left"/>
        <w:rPr>
          <w:rFonts w:ascii="仿宋" w:hAnsi="仿宋" w:eastAsia="仿宋" w:cs="仿宋"/>
          <w:sz w:val="32"/>
        </w:rPr>
      </w:pPr>
      <w:r>
        <w:rPr>
          <w:rFonts w:ascii="仿宋" w:hAnsi="仿宋" w:eastAsia="仿宋" w:cs="仿宋"/>
          <w:sz w:val="32"/>
        </w:rPr>
        <w:t xml:space="preserve">3. </w:t>
      </w:r>
      <w:r>
        <w:rPr>
          <w:rFonts w:hint="eastAsia" w:ascii="仿宋" w:hAnsi="仿宋" w:eastAsia="仿宋" w:cs="仿宋"/>
          <w:sz w:val="32"/>
        </w:rPr>
        <w:t>住房保障支出</w:t>
      </w:r>
      <w:r>
        <w:rPr>
          <w:rFonts w:ascii="仿宋" w:hAnsi="仿宋" w:eastAsia="仿宋" w:cs="仿宋"/>
          <w:sz w:val="32"/>
        </w:rPr>
        <w:t>（类）</w:t>
      </w:r>
      <w:r>
        <w:rPr>
          <w:rFonts w:hint="eastAsia" w:ascii="仿宋" w:hAnsi="仿宋" w:eastAsia="仿宋" w:cs="仿宋"/>
          <w:sz w:val="32"/>
        </w:rPr>
        <w:t>住房改革支出</w:t>
      </w:r>
      <w:r>
        <w:rPr>
          <w:rFonts w:ascii="仿宋" w:hAnsi="仿宋" w:eastAsia="仿宋" w:cs="仿宋"/>
          <w:sz w:val="32"/>
        </w:rPr>
        <w:t>（款）</w:t>
      </w:r>
      <w:r>
        <w:rPr>
          <w:rFonts w:hint="eastAsia" w:ascii="仿宋" w:hAnsi="仿宋" w:eastAsia="仿宋" w:cs="仿宋"/>
          <w:sz w:val="32"/>
        </w:rPr>
        <w:t>住房公积金</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24.09万元，</w:t>
      </w:r>
      <w:r>
        <w:rPr>
          <w:rFonts w:hint="eastAsia" w:ascii="仿宋" w:hAnsi="仿宋" w:eastAsia="仿宋" w:cs="仿宋"/>
          <w:sz w:val="32"/>
        </w:rPr>
        <w:t>支出决算为</w:t>
      </w:r>
      <w:r>
        <w:rPr>
          <w:rFonts w:ascii="仿宋" w:hAnsi="仿宋" w:eastAsia="仿宋" w:cs="仿宋"/>
          <w:sz w:val="32"/>
        </w:rPr>
        <w:t>24.09万元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缴纳住房公积金。</w:t>
      </w: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rPr>
        <w:t>益阳市北峰山国有林场</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年度一般公共预算财政拨款基本支出367.06万元，其中人员经费支出 316.7万元，主要包括：基本工资、津贴补贴</w:t>
      </w:r>
      <w:r>
        <w:rPr>
          <w:rFonts w:hint="eastAsia" w:ascii="仿宋" w:hAnsi="仿宋" w:eastAsia="仿宋" w:cs="仿宋"/>
          <w:sz w:val="32"/>
          <w:lang w:eastAsia="zh-CN"/>
        </w:rPr>
        <w:t>等</w:t>
      </w:r>
      <w:r>
        <w:rPr>
          <w:rFonts w:ascii="仿宋" w:hAnsi="仿宋" w:eastAsia="仿宋" w:cs="仿宋"/>
          <w:sz w:val="32"/>
        </w:rPr>
        <w:t>；公用经费支出50.36万元。主要包括：办公费、印刷费</w:t>
      </w:r>
      <w:r>
        <w:rPr>
          <w:rFonts w:hint="eastAsia" w:ascii="仿宋" w:hAnsi="仿宋" w:eastAsia="仿宋" w:cs="仿宋"/>
          <w:sz w:val="32"/>
          <w:lang w:eastAsia="zh-CN"/>
        </w:rPr>
        <w:t>等</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rPr>
        <w:t>益阳市北峰山国有林场</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ascii="仿宋" w:hAnsi="仿宋" w:eastAsia="仿宋" w:cs="仿宋"/>
          <w:sz w:val="32"/>
        </w:rPr>
      </w:pPr>
      <w:r>
        <w:rPr>
          <w:rFonts w:hint="eastAsia" w:ascii="仿宋" w:hAnsi="仿宋" w:eastAsia="仿宋" w:cs="仿宋"/>
          <w:sz w:val="32"/>
        </w:rPr>
        <w:t>益阳市北峰山国有林场</w:t>
      </w:r>
      <w:r>
        <w:rPr>
          <w:rFonts w:ascii="仿宋" w:hAnsi="仿宋" w:eastAsia="仿宋" w:cs="仿宋"/>
          <w:sz w:val="32"/>
        </w:rPr>
        <w:t>没有政府性基金收入，也没有政府性基金安排的支出</w:t>
      </w:r>
      <w:r>
        <w:rPr>
          <w:rFonts w:hint="eastAsia"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rPr>
        <w:t>益阳市北峰山国有林场</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年度“三公”经费财政拨款支出预算为4</w:t>
      </w:r>
      <w:r>
        <w:rPr>
          <w:rFonts w:hint="eastAsia" w:ascii="仿宋" w:hAnsi="仿宋" w:eastAsia="仿宋" w:cs="仿宋"/>
          <w:sz w:val="32"/>
          <w:lang w:val="en-US" w:eastAsia="zh-CN"/>
        </w:rPr>
        <w:t>.</w:t>
      </w:r>
      <w:r>
        <w:rPr>
          <w:rFonts w:ascii="仿宋" w:hAnsi="仿宋" w:eastAsia="仿宋" w:cs="仿宋"/>
          <w:sz w:val="32"/>
        </w:rPr>
        <w:t>05万元，支出决算为0.58万元，完成预算的</w:t>
      </w:r>
      <w:r>
        <w:rPr>
          <w:rFonts w:hint="eastAsia" w:ascii="仿宋" w:hAnsi="仿宋" w:eastAsia="仿宋" w:cs="仿宋"/>
          <w:sz w:val="32"/>
          <w:lang w:val="en-US" w:eastAsia="zh-CN"/>
        </w:rPr>
        <w:t>14.3</w:t>
      </w:r>
      <w:r>
        <w:rPr>
          <w:rFonts w:ascii="仿宋" w:hAnsi="仿宋" w:eastAsia="仿宋" w:cs="仿宋"/>
          <w:sz w:val="32"/>
        </w:rPr>
        <w:t>%，其中：因公出国（境）费支出决算为0万元，完成预算的0%；公务用车购置及运行费支出决算为0万元，完成预算的0%；公务接待费支出决算为0.58万元，完成预算的</w:t>
      </w:r>
      <w:r>
        <w:rPr>
          <w:rFonts w:hint="eastAsia" w:ascii="仿宋" w:hAnsi="仿宋" w:eastAsia="仿宋" w:cs="仿宋"/>
          <w:sz w:val="32"/>
          <w:lang w:val="en-US" w:eastAsia="zh-CN"/>
        </w:rPr>
        <w:t>14.3</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年度“三公”经费支出决算数小于预算数的主要原因：</w:t>
      </w:r>
      <w:r>
        <w:rPr>
          <w:rFonts w:hint="eastAsia" w:ascii="仿宋" w:hAnsi="仿宋" w:eastAsia="仿宋" w:cs="仿宋"/>
          <w:sz w:val="32"/>
        </w:rPr>
        <w:t>认真贯彻落实中央八项规定精神和厉行节约要求，从严控制“三公”经费开支，全年实际支出比预算有所节约。</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ascii="仿宋" w:hAnsi="仿宋" w:eastAsia="仿宋" w:cs="仿宋"/>
          <w:sz w:val="32"/>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年度“三公”经费财政拨款支出决算为0.58万元，其中：因公出国（境）费支出决算为 0万元，占0%；公务用车购置及运行费支出决算为0万元，占0%；公务接待费支出决算为0.58万元，占</w:t>
      </w:r>
      <w:r>
        <w:rPr>
          <w:rFonts w:hint="eastAsia" w:ascii="仿宋" w:hAnsi="仿宋" w:eastAsia="仿宋" w:cs="仿宋"/>
          <w:sz w:val="32"/>
          <w:lang w:val="en-US" w:eastAsia="zh-CN"/>
        </w:rPr>
        <w:t>14.3</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年度“三公”经费支出决算数小于上年决算数的主要原因：</w:t>
      </w:r>
      <w:r>
        <w:rPr>
          <w:rFonts w:hint="eastAsia" w:ascii="仿宋" w:hAnsi="仿宋" w:eastAsia="仿宋" w:cs="仿宋"/>
          <w:sz w:val="32"/>
        </w:rPr>
        <w:t>认真贯彻落实中央八项规定精神和厉行节约要求，从严控制“三公”经费开支，全年实际支出比预算有所节约。</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ascii="仿宋" w:hAnsi="仿宋" w:eastAsia="仿宋" w:cs="仿宋"/>
          <w:sz w:val="32"/>
        </w:rPr>
      </w:pPr>
      <w:r>
        <w:rPr>
          <w:rFonts w:ascii="仿宋" w:hAnsi="仿宋" w:eastAsia="仿宋" w:cs="仿宋"/>
          <w:sz w:val="32"/>
        </w:rPr>
        <w:t>因公出国（境）团组数0个，0人，因公出国（境）的开支内容：</w:t>
      </w:r>
      <w:r>
        <w:rPr>
          <w:rFonts w:hint="eastAsia" w:ascii="仿宋" w:hAnsi="仿宋" w:eastAsia="仿宋" w:cs="仿宋"/>
          <w:sz w:val="32"/>
        </w:rPr>
        <w:t>无。</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ascii="仿宋" w:hAnsi="仿宋" w:eastAsia="仿宋" w:cs="仿宋"/>
          <w:sz w:val="32"/>
        </w:rPr>
      </w:pPr>
      <w:r>
        <w:rPr>
          <w:rFonts w:ascii="仿宋" w:hAnsi="仿宋" w:eastAsia="仿宋" w:cs="仿宋"/>
          <w:sz w:val="32"/>
        </w:rPr>
        <w:t>公务用车购置支出：0万元，购置数0台，保有量0台</w:t>
      </w:r>
    </w:p>
    <w:p>
      <w:pPr>
        <w:ind w:firstLine="640"/>
        <w:jc w:val="left"/>
        <w:rPr>
          <w:rFonts w:ascii="仿宋" w:hAnsi="仿宋" w:eastAsia="仿宋" w:cs="仿宋"/>
          <w:sz w:val="32"/>
        </w:rPr>
      </w:pPr>
      <w:r>
        <w:rPr>
          <w:rFonts w:ascii="仿宋" w:hAnsi="仿宋" w:eastAsia="仿宋" w:cs="仿宋"/>
          <w:sz w:val="32"/>
        </w:rPr>
        <w:t>运行经费支出：0万元，主要用于</w:t>
      </w:r>
      <w:r>
        <w:rPr>
          <w:rFonts w:hint="eastAsia" w:ascii="仿宋" w:hAnsi="仿宋" w:eastAsia="仿宋" w:cs="仿宋"/>
          <w:sz w:val="32"/>
        </w:rPr>
        <w:t>无。</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ascii="仿宋" w:hAnsi="仿宋" w:eastAsia="仿宋" w:cs="仿宋"/>
          <w:sz w:val="32"/>
        </w:rPr>
      </w:pPr>
      <w:r>
        <w:rPr>
          <w:rFonts w:ascii="仿宋" w:hAnsi="仿宋" w:eastAsia="仿宋" w:cs="仿宋"/>
          <w:sz w:val="32"/>
        </w:rPr>
        <w:t>公务接待支出0.58万元，国内公务接待10批次，接待45人。接待支出主要用于</w:t>
      </w:r>
      <w:r>
        <w:rPr>
          <w:rFonts w:hint="eastAsia" w:ascii="仿宋" w:hAnsi="仿宋" w:eastAsia="仿宋" w:cs="仿宋"/>
          <w:sz w:val="32"/>
        </w:rPr>
        <w:t>上级检查、同级交流。</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ascii="仿宋" w:hAnsi="仿宋" w:eastAsia="仿宋" w:cs="仿宋"/>
          <w:sz w:val="32"/>
        </w:rPr>
      </w:pPr>
      <w:r>
        <w:rPr>
          <w:rFonts w:hint="eastAsia" w:ascii="仿宋" w:hAnsi="仿宋" w:eastAsia="仿宋" w:cs="仿宋"/>
          <w:sz w:val="32"/>
        </w:rPr>
        <w:t>益阳市北峰山国有林场无预算绩效评价</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ind w:firstLine="640"/>
        <w:jc w:val="left"/>
        <w:rPr>
          <w:rFonts w:ascii="仿宋" w:hAnsi="仿宋" w:eastAsia="仿宋" w:cs="仿宋"/>
          <w:sz w:val="32"/>
        </w:rPr>
      </w:pPr>
      <w:r>
        <w:rPr>
          <w:rFonts w:hint="eastAsia" w:ascii="仿宋" w:hAnsi="仿宋" w:eastAsia="仿宋" w:cs="仿宋"/>
          <w:sz w:val="32"/>
        </w:rPr>
        <w:t>益阳市北峰山国有林场2</w:t>
      </w:r>
      <w:r>
        <w:rPr>
          <w:rFonts w:ascii="仿宋" w:hAnsi="仿宋" w:eastAsia="仿宋" w:cs="仿宋"/>
          <w:sz w:val="32"/>
        </w:rPr>
        <w:t>019</w:t>
      </w:r>
      <w:r>
        <w:rPr>
          <w:rFonts w:hint="eastAsia" w:ascii="仿宋" w:hAnsi="仿宋" w:eastAsia="仿宋" w:cs="仿宋"/>
          <w:sz w:val="32"/>
        </w:rPr>
        <w:t>年度预算收入5</w:t>
      </w:r>
      <w:r>
        <w:rPr>
          <w:rFonts w:ascii="仿宋" w:hAnsi="仿宋" w:eastAsia="仿宋" w:cs="仿宋"/>
          <w:sz w:val="32"/>
        </w:rPr>
        <w:t>22.06</w:t>
      </w:r>
      <w:r>
        <w:rPr>
          <w:rFonts w:hint="eastAsia" w:ascii="仿宋" w:hAnsi="仿宋" w:eastAsia="仿宋" w:cs="仿宋"/>
          <w:sz w:val="32"/>
        </w:rPr>
        <w:t>万元，决算</w:t>
      </w:r>
      <w:r>
        <w:rPr>
          <w:rFonts w:ascii="仿宋" w:hAnsi="仿宋" w:eastAsia="仿宋" w:cs="仿宋"/>
          <w:sz w:val="32"/>
        </w:rPr>
        <w:t>收入</w:t>
      </w:r>
      <w:r>
        <w:rPr>
          <w:rFonts w:hint="eastAsia" w:ascii="仿宋" w:hAnsi="仿宋" w:eastAsia="仿宋" w:cs="仿宋"/>
          <w:sz w:val="32"/>
        </w:rPr>
        <w:t>4</w:t>
      </w:r>
      <w:r>
        <w:rPr>
          <w:rFonts w:ascii="仿宋" w:hAnsi="仿宋" w:eastAsia="仿宋" w:cs="仿宋"/>
          <w:sz w:val="32"/>
        </w:rPr>
        <w:t>86.3万元，减少35.76万元</w:t>
      </w:r>
      <w:r>
        <w:rPr>
          <w:rFonts w:hint="eastAsia" w:ascii="仿宋" w:hAnsi="仿宋" w:eastAsia="仿宋" w:cs="仿宋"/>
          <w:sz w:val="32"/>
        </w:rPr>
        <w:t>；预算支出5</w:t>
      </w:r>
      <w:r>
        <w:rPr>
          <w:rFonts w:ascii="仿宋" w:hAnsi="仿宋" w:eastAsia="仿宋" w:cs="仿宋"/>
          <w:sz w:val="32"/>
        </w:rPr>
        <w:t>22.06</w:t>
      </w:r>
      <w:r>
        <w:rPr>
          <w:rFonts w:hint="eastAsia" w:ascii="仿宋" w:hAnsi="仿宋" w:eastAsia="仿宋" w:cs="仿宋"/>
          <w:sz w:val="32"/>
        </w:rPr>
        <w:t>万元，决算</w:t>
      </w:r>
      <w:r>
        <w:rPr>
          <w:rFonts w:ascii="仿宋" w:hAnsi="仿宋" w:eastAsia="仿宋" w:cs="仿宋"/>
          <w:sz w:val="32"/>
        </w:rPr>
        <w:t>支出481.04万元，减少41.02万元</w:t>
      </w:r>
      <w:r>
        <w:rPr>
          <w:rFonts w:hint="eastAsia" w:ascii="仿宋" w:hAnsi="仿宋" w:eastAsia="仿宋" w:cs="仿宋"/>
          <w:sz w:val="32"/>
        </w:rPr>
        <w:t>；</w:t>
      </w:r>
      <w:r>
        <w:rPr>
          <w:rFonts w:ascii="仿宋" w:hAnsi="仿宋" w:eastAsia="仿宋" w:cs="仿宋"/>
          <w:sz w:val="32"/>
        </w:rPr>
        <w:t>主要原因：</w:t>
      </w:r>
      <w:r>
        <w:rPr>
          <w:rFonts w:hint="eastAsia" w:ascii="仿宋" w:hAnsi="仿宋" w:eastAsia="仿宋" w:cs="仿宋"/>
          <w:sz w:val="32"/>
        </w:rPr>
        <w:t>预算收入减少是因为政策因</w:t>
      </w:r>
      <w:bookmarkStart w:id="0" w:name="_GoBack"/>
      <w:bookmarkEnd w:id="0"/>
      <w:r>
        <w:rPr>
          <w:rFonts w:hint="eastAsia" w:ascii="仿宋" w:hAnsi="仿宋" w:eastAsia="仿宋" w:cs="仿宋"/>
          <w:sz w:val="32"/>
        </w:rPr>
        <w:t>素影响；预算支出减少是基本建设项目减少。</w:t>
      </w:r>
    </w:p>
    <w:p>
      <w:pPr>
        <w:ind w:firstLine="640"/>
        <w:jc w:val="left"/>
        <w:rPr>
          <w:rFonts w:ascii="黑体" w:hAnsi="黑体" w:eastAsia="黑体" w:cs="黑体"/>
          <w:sz w:val="32"/>
        </w:rPr>
      </w:pP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rPr>
          <w:rFonts w:ascii="仿宋_GB2312" w:eastAsia="仿宋_GB2312"/>
          <w:sz w:val="32"/>
          <w:szCs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运行经费支出50.36万元，较上年增加</w:t>
      </w:r>
      <w:r>
        <w:rPr>
          <w:rFonts w:hint="eastAsia" w:ascii="仿宋" w:hAnsi="仿宋" w:eastAsia="仿宋" w:cs="仿宋"/>
          <w:sz w:val="32"/>
        </w:rPr>
        <w:t>2</w:t>
      </w:r>
      <w:r>
        <w:rPr>
          <w:rFonts w:ascii="仿宋" w:hAnsi="仿宋" w:eastAsia="仿宋" w:cs="仿宋"/>
          <w:sz w:val="32"/>
        </w:rPr>
        <w:t>.43万元，增5%，主要原因是</w:t>
      </w:r>
      <w:r>
        <w:rPr>
          <w:rFonts w:hint="eastAsia" w:ascii="仿宋_GB2312" w:eastAsia="仿宋_GB2312"/>
          <w:sz w:val="32"/>
          <w:szCs w:val="32"/>
        </w:rPr>
        <w:t>：专用材料与其他商品和服务支出增加</w:t>
      </w:r>
      <w:r>
        <w:rPr>
          <w:rFonts w:ascii="仿宋_GB2312" w:eastAsia="仿宋_GB2312"/>
          <w:sz w:val="32"/>
          <w:szCs w:val="32"/>
        </w:rPr>
        <w:t xml:space="preserve"> </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ascii="楷体" w:hAnsi="楷体" w:eastAsia="楷体" w:cs="楷体"/>
          <w:color w:val="FF0000"/>
          <w:sz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9年度政府采购</w:t>
      </w:r>
      <w:r>
        <w:rPr>
          <w:rFonts w:ascii="仿宋" w:hAnsi="仿宋" w:eastAsia="仿宋" w:cs="仿宋"/>
          <w:sz w:val="32"/>
        </w:rPr>
        <w:t>90.44万元，其中，政府采购货物支出0万元，</w:t>
      </w:r>
      <w:r>
        <w:rPr>
          <w:rFonts w:hint="eastAsia" w:ascii="仿宋" w:hAnsi="仿宋" w:eastAsia="仿宋" w:cs="仿宋"/>
          <w:sz w:val="32"/>
        </w:rPr>
        <w:t>占政府采购支出总额的</w:t>
      </w:r>
      <w:r>
        <w:rPr>
          <w:rFonts w:ascii="仿宋" w:hAnsi="仿宋" w:eastAsia="仿宋" w:cs="仿宋"/>
          <w:sz w:val="32"/>
        </w:rPr>
        <w:t>0</w:t>
      </w:r>
      <w:r>
        <w:rPr>
          <w:rFonts w:hint="eastAsia" w:ascii="仿宋" w:hAnsi="仿宋" w:eastAsia="仿宋" w:cs="仿宋"/>
          <w:sz w:val="32"/>
        </w:rPr>
        <w:t>%，</w:t>
      </w:r>
      <w:r>
        <w:rPr>
          <w:rFonts w:ascii="仿宋" w:hAnsi="仿宋" w:eastAsia="仿宋" w:cs="仿宋"/>
          <w:sz w:val="32"/>
        </w:rPr>
        <w:t>政府采购工程支出82万元，</w:t>
      </w:r>
      <w:r>
        <w:rPr>
          <w:rFonts w:hint="eastAsia" w:ascii="仿宋" w:hAnsi="仿宋" w:eastAsia="仿宋" w:cs="仿宋"/>
          <w:sz w:val="32"/>
        </w:rPr>
        <w:t>占政府采购支出总额的</w:t>
      </w:r>
      <w:r>
        <w:rPr>
          <w:rFonts w:ascii="仿宋" w:hAnsi="仿宋" w:eastAsia="仿宋" w:cs="仿宋"/>
          <w:sz w:val="32"/>
        </w:rPr>
        <w:t>90.7</w:t>
      </w:r>
      <w:r>
        <w:rPr>
          <w:rFonts w:hint="eastAsia" w:ascii="仿宋" w:hAnsi="仿宋" w:eastAsia="仿宋" w:cs="仿宋"/>
          <w:sz w:val="32"/>
        </w:rPr>
        <w:t>%，</w:t>
      </w:r>
      <w:r>
        <w:rPr>
          <w:rFonts w:ascii="仿宋" w:hAnsi="仿宋" w:eastAsia="仿宋" w:cs="仿宋"/>
          <w:sz w:val="32"/>
        </w:rPr>
        <w:t>政府采购服务支出8.44万元</w:t>
      </w:r>
      <w:r>
        <w:rPr>
          <w:rFonts w:hint="eastAsia" w:ascii="仿宋" w:hAnsi="仿宋" w:eastAsia="仿宋" w:cs="仿宋"/>
          <w:sz w:val="32"/>
        </w:rPr>
        <w:t>，占政府采购支出总额的</w:t>
      </w:r>
      <w:r>
        <w:rPr>
          <w:rFonts w:ascii="仿宋" w:hAnsi="仿宋" w:eastAsia="仿宋" w:cs="仿宋"/>
          <w:sz w:val="32"/>
        </w:rPr>
        <w:t>9.3</w:t>
      </w:r>
      <w:r>
        <w:rPr>
          <w:rFonts w:hint="eastAsia" w:ascii="仿宋" w:hAnsi="仿宋" w:eastAsia="仿宋" w:cs="仿宋"/>
          <w:sz w:val="32"/>
        </w:rPr>
        <w:t>%。</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480" w:firstLineChars="15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ascii="仿宋_GB2312" w:eastAsia="仿宋_GB2312"/>
          <w:sz w:val="32"/>
          <w:szCs w:val="32"/>
        </w:rPr>
        <w:t>0</w:t>
      </w:r>
      <w:r>
        <w:rPr>
          <w:rFonts w:hint="eastAsia" w:ascii="仿宋_GB2312" w:eastAsia="仿宋_GB2312"/>
          <w:sz w:val="32"/>
          <w:szCs w:val="32"/>
        </w:rPr>
        <w:t>辆，其中，领导干部用车</w:t>
      </w:r>
      <w:r>
        <w:rPr>
          <w:rFonts w:ascii="仿宋_GB2312" w:eastAsia="仿宋_GB2312"/>
          <w:sz w:val="32"/>
          <w:szCs w:val="32"/>
        </w:rPr>
        <w:t>0</w:t>
      </w:r>
      <w:r>
        <w:rPr>
          <w:rFonts w:hint="eastAsia" w:ascii="仿宋_GB2312" w:eastAsia="仿宋_GB2312"/>
          <w:sz w:val="32"/>
          <w:szCs w:val="32"/>
        </w:rPr>
        <w:t>辆、一般公务用车</w:t>
      </w:r>
      <w:r>
        <w:rPr>
          <w:rFonts w:ascii="仿宋_GB2312" w:eastAsia="仿宋_GB2312"/>
          <w:sz w:val="32"/>
          <w:szCs w:val="32"/>
        </w:rPr>
        <w:t>0</w:t>
      </w:r>
      <w:r>
        <w:rPr>
          <w:rFonts w:hint="eastAsia" w:ascii="仿宋_GB2312" w:eastAsia="仿宋_GB2312"/>
          <w:sz w:val="32"/>
          <w:szCs w:val="32"/>
        </w:rPr>
        <w:t>辆、一般执法执勤用车</w:t>
      </w:r>
      <w:r>
        <w:rPr>
          <w:rFonts w:ascii="仿宋_GB2312" w:eastAsia="仿宋_GB2312"/>
          <w:sz w:val="32"/>
          <w:szCs w:val="32"/>
        </w:rPr>
        <w:t>0</w:t>
      </w:r>
      <w:r>
        <w:rPr>
          <w:rFonts w:hint="eastAsia" w:ascii="仿宋_GB2312" w:eastAsia="仿宋_GB2312"/>
          <w:sz w:val="32"/>
          <w:szCs w:val="32"/>
        </w:rPr>
        <w:t>辆、特种专业技术用车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辆，其他用车主要是无；单位价值</w:t>
      </w:r>
      <w:r>
        <w:rPr>
          <w:rFonts w:ascii="仿宋_GB2312" w:eastAsia="仿宋_GB2312"/>
          <w:sz w:val="32"/>
          <w:szCs w:val="32"/>
        </w:rPr>
        <w:t>50</w:t>
      </w:r>
      <w:r>
        <w:rPr>
          <w:rFonts w:hint="eastAsia" w:ascii="仿宋_GB2312" w:eastAsia="仿宋_GB2312"/>
          <w:sz w:val="32"/>
          <w:szCs w:val="32"/>
        </w:rPr>
        <w:t>万元以上通用设备</w:t>
      </w:r>
      <w:r>
        <w:rPr>
          <w:rFonts w:ascii="仿宋_GB2312" w:eastAsia="仿宋_GB2312"/>
          <w:sz w:val="32"/>
          <w:szCs w:val="32"/>
        </w:rPr>
        <w:t>0</w:t>
      </w:r>
      <w:r>
        <w:rPr>
          <w:rFonts w:hint="eastAsia" w:ascii="仿宋_GB2312" w:eastAsia="仿宋_GB2312"/>
          <w:sz w:val="32"/>
          <w:szCs w:val="32"/>
        </w:rPr>
        <w:t>台</w:t>
      </w:r>
      <w:r>
        <w:rPr>
          <w:rFonts w:ascii="仿宋_GB2312" w:eastAsia="仿宋_GB2312"/>
          <w:sz w:val="32"/>
          <w:szCs w:val="32"/>
        </w:rPr>
        <w:t>(</w:t>
      </w:r>
      <w:r>
        <w:rPr>
          <w:rFonts w:hint="eastAsia" w:ascii="仿宋_GB2312" w:eastAsia="仿宋_GB2312"/>
          <w:sz w:val="32"/>
          <w:szCs w:val="32"/>
        </w:rPr>
        <w:t>套</w:t>
      </w:r>
      <w:r>
        <w:rPr>
          <w:rFonts w:ascii="仿宋_GB2312" w:eastAsia="仿宋_GB2312"/>
          <w:sz w:val="32"/>
          <w:szCs w:val="32"/>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万正以上专用设备</w:t>
      </w:r>
      <w:r>
        <w:rPr>
          <w:rFonts w:ascii="仿宋_GB2312" w:eastAsia="仿宋_GB2312"/>
          <w:sz w:val="32"/>
          <w:szCs w:val="32"/>
        </w:rPr>
        <w:t>0</w:t>
      </w:r>
      <w:r>
        <w:rPr>
          <w:rFonts w:hint="eastAsia" w:ascii="仿宋_GB2312" w:eastAsia="仿宋_GB2312"/>
          <w:sz w:val="32"/>
          <w:szCs w:val="32"/>
        </w:rPr>
        <w:t>台 (套).</w:t>
      </w: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ascii="宋体" w:hAnsi="宋体" w:eastAsia="宋体" w:cs="宋体"/>
          <w:sz w:val="44"/>
        </w:rPr>
      </w:pPr>
    </w:p>
    <w:p>
      <w:pPr>
        <w:ind w:firstLine="640"/>
        <w:jc w:val="left"/>
        <w:rPr>
          <w:rFonts w:ascii="仿宋" w:hAnsi="仿宋" w:eastAsia="仿宋" w:cs="仿宋"/>
          <w:sz w:val="32"/>
        </w:rPr>
      </w:pPr>
    </w:p>
    <w:p>
      <w:pPr>
        <w:ind w:left="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22F24"/>
    <w:rsid w:val="000452DB"/>
    <w:rsid w:val="000B56F7"/>
    <w:rsid w:val="000E1DA1"/>
    <w:rsid w:val="0011267F"/>
    <w:rsid w:val="001352FB"/>
    <w:rsid w:val="00144D50"/>
    <w:rsid w:val="001E0252"/>
    <w:rsid w:val="001E4AB5"/>
    <w:rsid w:val="0025703E"/>
    <w:rsid w:val="00292957"/>
    <w:rsid w:val="002D5DD0"/>
    <w:rsid w:val="003439F1"/>
    <w:rsid w:val="00361F25"/>
    <w:rsid w:val="003638A2"/>
    <w:rsid w:val="00440EC1"/>
    <w:rsid w:val="004606BE"/>
    <w:rsid w:val="0047481E"/>
    <w:rsid w:val="004C174B"/>
    <w:rsid w:val="004E2F24"/>
    <w:rsid w:val="00543E11"/>
    <w:rsid w:val="00582244"/>
    <w:rsid w:val="005E2E58"/>
    <w:rsid w:val="006123DC"/>
    <w:rsid w:val="0065030C"/>
    <w:rsid w:val="0070163B"/>
    <w:rsid w:val="00731C26"/>
    <w:rsid w:val="00732CB0"/>
    <w:rsid w:val="008C1C44"/>
    <w:rsid w:val="008F546E"/>
    <w:rsid w:val="008F6689"/>
    <w:rsid w:val="00946F32"/>
    <w:rsid w:val="0096182A"/>
    <w:rsid w:val="009B4C5A"/>
    <w:rsid w:val="00A60F78"/>
    <w:rsid w:val="00A806B4"/>
    <w:rsid w:val="00A927A2"/>
    <w:rsid w:val="00AB25EE"/>
    <w:rsid w:val="00AF64D3"/>
    <w:rsid w:val="00B21183"/>
    <w:rsid w:val="00B27C51"/>
    <w:rsid w:val="00B44575"/>
    <w:rsid w:val="00B625CC"/>
    <w:rsid w:val="00BC6D21"/>
    <w:rsid w:val="00BD0975"/>
    <w:rsid w:val="00BD39DB"/>
    <w:rsid w:val="00C07DA6"/>
    <w:rsid w:val="00C44F18"/>
    <w:rsid w:val="00D21CDF"/>
    <w:rsid w:val="00D36804"/>
    <w:rsid w:val="00D7052E"/>
    <w:rsid w:val="00D83956"/>
    <w:rsid w:val="00DF6FA5"/>
    <w:rsid w:val="00E1552F"/>
    <w:rsid w:val="00E517E0"/>
    <w:rsid w:val="00EC2A23"/>
    <w:rsid w:val="00EC2AAC"/>
    <w:rsid w:val="00ED7147"/>
    <w:rsid w:val="00F322AD"/>
    <w:rsid w:val="00F35C36"/>
    <w:rsid w:val="00F44513"/>
    <w:rsid w:val="00F90EA9"/>
    <w:rsid w:val="00F94200"/>
    <w:rsid w:val="00FE3F03"/>
    <w:rsid w:val="25B20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8">
    <w:name w:val="页眉 Char"/>
    <w:basedOn w:val="5"/>
    <w:link w:val="4"/>
    <w:uiPriority w:val="99"/>
    <w:rPr>
      <w:sz w:val="18"/>
      <w:szCs w:val="18"/>
    </w:rPr>
  </w:style>
  <w:style w:type="character" w:customStyle="1" w:styleId="9">
    <w:name w:val="页脚 Char"/>
    <w:basedOn w:val="5"/>
    <w:link w:val="3"/>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emf"/><Relationship Id="rId11" Type="http://schemas.openxmlformats.org/officeDocument/2006/relationships/image" Target="media/image7.emf"/><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713</Words>
  <Characters>4067</Characters>
  <Lines>33</Lines>
  <Paragraphs>9</Paragraphs>
  <TotalTime>284</TotalTime>
  <ScaleCrop>false</ScaleCrop>
  <LinksUpToDate>false</LinksUpToDate>
  <CharactersWithSpaces>4771</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dcterms:modified xsi:type="dcterms:W3CDTF">2021-05-24T07:45:14Z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