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ind w:left="0" w:leftChars="-337" w:hanging="707" w:hangingChars="221"/>
        <w:rPr>
          <w:rFonts w:ascii="黑体" w:hAnsi="黑体" w:eastAsia="黑体" w:cs="宋体"/>
          <w:bCs/>
          <w:kern w:val="0"/>
          <w:sz w:val="32"/>
          <w:szCs w:val="32"/>
        </w:rPr>
      </w:pPr>
      <w:bookmarkStart w:id="0" w:name="_GoBack"/>
      <w:bookmarkEnd w:id="0"/>
      <w:r>
        <w:rPr>
          <w:rFonts w:hint="eastAsia" w:ascii="黑体" w:hAnsi="黑体" w:eastAsia="黑体" w:cs="宋体"/>
          <w:bCs/>
          <w:kern w:val="0"/>
          <w:sz w:val="32"/>
          <w:szCs w:val="32"/>
        </w:rPr>
        <w:t>附件一：</w:t>
      </w:r>
    </w:p>
    <w:p>
      <w:pPr>
        <w:widowControl/>
        <w:ind w:left="-2" w:leftChars="-337" w:hanging="705" w:hangingChars="196"/>
        <w:jc w:val="center"/>
        <w:rPr>
          <w:rFonts w:ascii="方正小标宋简体" w:hAnsi="黑体" w:eastAsia="方正小标宋简体" w:cs="宋体"/>
          <w:kern w:val="0"/>
          <w:sz w:val="36"/>
          <w:szCs w:val="36"/>
        </w:rPr>
      </w:pPr>
      <w:r>
        <w:rPr>
          <w:rFonts w:hint="eastAsia" w:ascii="方正小标宋简体" w:hAnsi="黑体" w:eastAsia="方正小标宋简体" w:cs="宋体"/>
          <w:kern w:val="0"/>
          <w:sz w:val="36"/>
          <w:szCs w:val="36"/>
        </w:rPr>
        <w:t>2021年财政监督检查计划</w:t>
      </w:r>
    </w:p>
    <w:tbl>
      <w:tblPr>
        <w:tblStyle w:val="8"/>
        <w:tblW w:w="10348" w:type="dxa"/>
        <w:tblInd w:w="-601" w:type="dxa"/>
        <w:tblLayout w:type="fixed"/>
        <w:tblCellMar>
          <w:top w:w="0" w:type="dxa"/>
          <w:left w:w="108" w:type="dxa"/>
          <w:bottom w:w="0" w:type="dxa"/>
          <w:right w:w="108" w:type="dxa"/>
        </w:tblCellMar>
      </w:tblPr>
      <w:tblGrid>
        <w:gridCol w:w="851"/>
        <w:gridCol w:w="1985"/>
        <w:gridCol w:w="1842"/>
        <w:gridCol w:w="993"/>
        <w:gridCol w:w="1417"/>
        <w:gridCol w:w="1559"/>
        <w:gridCol w:w="1701"/>
      </w:tblGrid>
      <w:tr>
        <w:tblPrEx>
          <w:tblCellMar>
            <w:top w:w="0" w:type="dxa"/>
            <w:left w:w="108" w:type="dxa"/>
            <w:bottom w:w="0" w:type="dxa"/>
            <w:right w:w="108" w:type="dxa"/>
          </w:tblCellMar>
        </w:tblPrEx>
        <w:trPr>
          <w:trHeight w:val="579" w:hRule="atLeast"/>
          <w:tblHeader/>
        </w:trPr>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ascii="宋体" w:hAnsi="宋体" w:cs="宋体"/>
                <w:b/>
                <w:bCs/>
                <w:kern w:val="0"/>
                <w:sz w:val="18"/>
                <w:szCs w:val="18"/>
              </w:rPr>
            </w:pPr>
            <w:r>
              <w:rPr>
                <w:rFonts w:hint="eastAsia" w:ascii="宋体" w:hAnsi="宋体" w:cs="宋体"/>
                <w:b/>
                <w:bCs/>
                <w:kern w:val="0"/>
                <w:sz w:val="18"/>
                <w:szCs w:val="18"/>
              </w:rPr>
              <w:t>序号</w:t>
            </w:r>
          </w:p>
        </w:tc>
        <w:tc>
          <w:tcPr>
            <w:tcW w:w="1985"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center"/>
              <w:rPr>
                <w:rFonts w:ascii="宋体" w:hAnsi="宋体" w:cs="宋体"/>
                <w:b/>
                <w:bCs/>
                <w:kern w:val="0"/>
                <w:sz w:val="18"/>
                <w:szCs w:val="18"/>
              </w:rPr>
            </w:pPr>
            <w:r>
              <w:rPr>
                <w:rFonts w:hint="eastAsia" w:ascii="宋体" w:hAnsi="宋体" w:cs="宋体"/>
                <w:b/>
                <w:bCs/>
                <w:kern w:val="0"/>
                <w:sz w:val="18"/>
                <w:szCs w:val="18"/>
              </w:rPr>
              <w:t>检查项目</w:t>
            </w:r>
          </w:p>
        </w:tc>
        <w:tc>
          <w:tcPr>
            <w:tcW w:w="1842"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center"/>
              <w:rPr>
                <w:rFonts w:ascii="宋体" w:hAnsi="宋体" w:cs="宋体"/>
                <w:b/>
                <w:bCs/>
                <w:kern w:val="0"/>
                <w:sz w:val="18"/>
                <w:szCs w:val="18"/>
              </w:rPr>
            </w:pPr>
            <w:r>
              <w:rPr>
                <w:rFonts w:hint="eastAsia" w:ascii="宋体" w:hAnsi="宋体" w:cs="宋体"/>
                <w:b/>
                <w:bCs/>
                <w:kern w:val="0"/>
                <w:sz w:val="18"/>
                <w:szCs w:val="18"/>
              </w:rPr>
              <w:t>检查单位</w:t>
            </w:r>
          </w:p>
        </w:tc>
        <w:tc>
          <w:tcPr>
            <w:tcW w:w="993"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center"/>
              <w:rPr>
                <w:rFonts w:ascii="宋体" w:hAnsi="宋体" w:cs="宋体"/>
                <w:b/>
                <w:bCs/>
                <w:kern w:val="0"/>
                <w:sz w:val="18"/>
                <w:szCs w:val="18"/>
              </w:rPr>
            </w:pPr>
            <w:r>
              <w:rPr>
                <w:rFonts w:hint="eastAsia" w:ascii="宋体" w:hAnsi="宋体" w:cs="宋体"/>
                <w:b/>
                <w:bCs/>
                <w:kern w:val="0"/>
                <w:sz w:val="18"/>
                <w:szCs w:val="18"/>
              </w:rPr>
              <w:t>检查年度</w:t>
            </w:r>
          </w:p>
        </w:tc>
        <w:tc>
          <w:tcPr>
            <w:tcW w:w="1417"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cs="宋体"/>
                <w:b/>
                <w:bCs/>
                <w:kern w:val="0"/>
                <w:sz w:val="18"/>
                <w:szCs w:val="18"/>
              </w:rPr>
            </w:pPr>
            <w:r>
              <w:rPr>
                <w:rFonts w:hint="eastAsia" w:ascii="宋体" w:hAnsi="宋体" w:cs="宋体"/>
                <w:b/>
                <w:bCs/>
                <w:kern w:val="0"/>
                <w:sz w:val="18"/>
                <w:szCs w:val="18"/>
              </w:rPr>
              <w:t>检查时间</w:t>
            </w:r>
          </w:p>
          <w:p>
            <w:pPr>
              <w:widowControl/>
              <w:spacing w:line="240" w:lineRule="exact"/>
              <w:jc w:val="center"/>
              <w:rPr>
                <w:rFonts w:ascii="宋体" w:hAnsi="宋体" w:cs="宋体"/>
                <w:b/>
                <w:bCs/>
                <w:kern w:val="0"/>
                <w:sz w:val="18"/>
                <w:szCs w:val="18"/>
              </w:rPr>
            </w:pPr>
            <w:r>
              <w:rPr>
                <w:rFonts w:hint="eastAsia" w:ascii="宋体" w:hAnsi="宋体" w:cs="宋体"/>
                <w:b/>
                <w:bCs/>
                <w:kern w:val="0"/>
                <w:sz w:val="18"/>
                <w:szCs w:val="18"/>
              </w:rPr>
              <w:t>（2021年 月）</w:t>
            </w:r>
          </w:p>
        </w:tc>
        <w:tc>
          <w:tcPr>
            <w:tcW w:w="155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cs="宋体"/>
                <w:b/>
                <w:bCs/>
                <w:kern w:val="0"/>
                <w:sz w:val="18"/>
                <w:szCs w:val="18"/>
              </w:rPr>
            </w:pPr>
            <w:r>
              <w:rPr>
                <w:rFonts w:hint="eastAsia" w:ascii="宋体" w:hAnsi="宋体" w:cs="宋体"/>
                <w:b/>
                <w:bCs/>
                <w:kern w:val="0"/>
                <w:sz w:val="18"/>
                <w:szCs w:val="18"/>
              </w:rPr>
              <w:t>牵头部门           （单位、科室）</w:t>
            </w:r>
          </w:p>
        </w:tc>
        <w:tc>
          <w:tcPr>
            <w:tcW w:w="1701"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b/>
                <w:bCs/>
                <w:kern w:val="0"/>
                <w:sz w:val="18"/>
                <w:szCs w:val="18"/>
              </w:rPr>
            </w:pPr>
            <w:r>
              <w:rPr>
                <w:rFonts w:hint="eastAsia" w:ascii="宋体" w:hAnsi="宋体" w:cs="宋体"/>
                <w:b/>
                <w:bCs/>
                <w:kern w:val="0"/>
                <w:sz w:val="18"/>
                <w:szCs w:val="18"/>
              </w:rPr>
              <w:t>配合部门</w:t>
            </w:r>
          </w:p>
          <w:p>
            <w:pPr>
              <w:widowControl/>
              <w:spacing w:line="240" w:lineRule="exact"/>
              <w:jc w:val="center"/>
              <w:rPr>
                <w:rFonts w:ascii="宋体" w:hAnsi="宋体" w:cs="宋体"/>
                <w:b/>
                <w:bCs/>
                <w:kern w:val="0"/>
                <w:sz w:val="18"/>
                <w:szCs w:val="18"/>
              </w:rPr>
            </w:pPr>
            <w:r>
              <w:rPr>
                <w:rFonts w:hint="eastAsia" w:ascii="宋体" w:hAnsi="宋体" w:cs="宋体"/>
                <w:b/>
                <w:bCs/>
                <w:kern w:val="0"/>
                <w:sz w:val="18"/>
                <w:szCs w:val="18"/>
              </w:rPr>
              <w:t>（单位、科室）</w:t>
            </w:r>
          </w:p>
        </w:tc>
      </w:tr>
      <w:tr>
        <w:tblPrEx>
          <w:tblCellMar>
            <w:top w:w="0" w:type="dxa"/>
            <w:left w:w="108" w:type="dxa"/>
            <w:bottom w:w="0" w:type="dxa"/>
            <w:right w:w="108" w:type="dxa"/>
          </w:tblCellMar>
        </w:tblPrEx>
        <w:trPr>
          <w:trHeight w:val="559" w:hRule="atLeast"/>
        </w:trPr>
        <w:tc>
          <w:tcPr>
            <w:tcW w:w="851"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ascii="宋体" w:hAnsi="宋体" w:cs="宋体"/>
                <w:b/>
                <w:bCs/>
                <w:kern w:val="0"/>
                <w:sz w:val="18"/>
                <w:szCs w:val="18"/>
              </w:rPr>
            </w:pPr>
          </w:p>
        </w:tc>
        <w:tc>
          <w:tcPr>
            <w:tcW w:w="1985"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宋体" w:hAnsi="宋体" w:cs="宋体"/>
                <w:b/>
                <w:bCs/>
                <w:kern w:val="0"/>
                <w:sz w:val="18"/>
                <w:szCs w:val="18"/>
              </w:rPr>
            </w:pPr>
            <w:r>
              <w:rPr>
                <w:rFonts w:hint="eastAsia" w:ascii="宋体" w:hAnsi="宋体" w:cs="宋体"/>
                <w:b/>
                <w:bCs/>
                <w:kern w:val="0"/>
                <w:sz w:val="18"/>
                <w:szCs w:val="18"/>
              </w:rPr>
              <w:t>一、预算监督与财政内部监督</w:t>
            </w:r>
          </w:p>
        </w:tc>
        <w:tc>
          <w:tcPr>
            <w:tcW w:w="184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cs="宋体"/>
                <w:kern w:val="0"/>
                <w:sz w:val="18"/>
                <w:szCs w:val="18"/>
              </w:rPr>
            </w:pPr>
          </w:p>
        </w:tc>
        <w:tc>
          <w:tcPr>
            <w:tcW w:w="993"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cs="宋体"/>
                <w:kern w:val="0"/>
                <w:sz w:val="18"/>
                <w:szCs w:val="18"/>
              </w:rPr>
            </w:pPr>
          </w:p>
        </w:tc>
        <w:tc>
          <w:tcPr>
            <w:tcW w:w="141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cs="宋体"/>
                <w:kern w:val="0"/>
                <w:sz w:val="18"/>
                <w:szCs w:val="18"/>
              </w:rPr>
            </w:pPr>
          </w:p>
        </w:tc>
        <w:tc>
          <w:tcPr>
            <w:tcW w:w="1559" w:type="dxa"/>
            <w:tcBorders>
              <w:top w:val="nil"/>
              <w:left w:val="nil"/>
              <w:bottom w:val="single" w:color="auto" w:sz="4" w:space="0"/>
              <w:right w:val="single" w:color="auto" w:sz="4" w:space="0"/>
            </w:tcBorders>
            <w:shd w:val="clear" w:color="auto" w:fill="auto"/>
            <w:vAlign w:val="bottom"/>
          </w:tcPr>
          <w:p>
            <w:pPr>
              <w:widowControl/>
              <w:spacing w:line="240" w:lineRule="exact"/>
              <w:jc w:val="center"/>
              <w:rPr>
                <w:rFonts w:ascii="宋体" w:hAnsi="宋体" w:cs="宋体"/>
                <w:kern w:val="0"/>
                <w:sz w:val="18"/>
                <w:szCs w:val="18"/>
              </w:rPr>
            </w:pPr>
          </w:p>
        </w:tc>
        <w:tc>
          <w:tcPr>
            <w:tcW w:w="1701" w:type="dxa"/>
            <w:tcBorders>
              <w:top w:val="nil"/>
              <w:left w:val="nil"/>
              <w:bottom w:val="single" w:color="auto" w:sz="4" w:space="0"/>
              <w:right w:val="single" w:color="auto" w:sz="4" w:space="0"/>
            </w:tcBorders>
            <w:vAlign w:val="bottom"/>
          </w:tcPr>
          <w:p>
            <w:pPr>
              <w:widowControl/>
              <w:spacing w:line="240" w:lineRule="exact"/>
              <w:jc w:val="center"/>
              <w:rPr>
                <w:rFonts w:ascii="宋体" w:hAnsi="宋体" w:cs="宋体"/>
                <w:kern w:val="0"/>
                <w:sz w:val="18"/>
                <w:szCs w:val="18"/>
              </w:rPr>
            </w:pPr>
          </w:p>
        </w:tc>
      </w:tr>
      <w:tr>
        <w:tblPrEx>
          <w:tblCellMar>
            <w:top w:w="0" w:type="dxa"/>
            <w:left w:w="108" w:type="dxa"/>
            <w:bottom w:w="0" w:type="dxa"/>
            <w:right w:w="108" w:type="dxa"/>
          </w:tblCellMar>
        </w:tblPrEx>
        <w:trPr>
          <w:trHeight w:val="559" w:hRule="atLeast"/>
        </w:trPr>
        <w:tc>
          <w:tcPr>
            <w:tcW w:w="851"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1</w:t>
            </w:r>
          </w:p>
        </w:tc>
        <w:tc>
          <w:tcPr>
            <w:tcW w:w="198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2021年部门预算公开检查、2020年部门决算公开检查</w:t>
            </w:r>
          </w:p>
        </w:tc>
        <w:tc>
          <w:tcPr>
            <w:tcW w:w="184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市直部门预算单位</w:t>
            </w:r>
          </w:p>
        </w:tc>
        <w:tc>
          <w:tcPr>
            <w:tcW w:w="993"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2021年</w:t>
            </w:r>
          </w:p>
        </w:tc>
        <w:tc>
          <w:tcPr>
            <w:tcW w:w="1417"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8-10月</w:t>
            </w:r>
          </w:p>
        </w:tc>
        <w:tc>
          <w:tcPr>
            <w:tcW w:w="155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财政监督科（委托中介机构）</w:t>
            </w:r>
          </w:p>
        </w:tc>
        <w:tc>
          <w:tcPr>
            <w:tcW w:w="1701"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预算科、国库科、部门预算管理科室</w:t>
            </w:r>
          </w:p>
        </w:tc>
      </w:tr>
      <w:tr>
        <w:tblPrEx>
          <w:tblCellMar>
            <w:top w:w="0" w:type="dxa"/>
            <w:left w:w="108" w:type="dxa"/>
            <w:bottom w:w="0" w:type="dxa"/>
            <w:right w:w="108" w:type="dxa"/>
          </w:tblCellMar>
        </w:tblPrEx>
        <w:trPr>
          <w:trHeight w:val="559" w:hRule="atLeast"/>
        </w:trPr>
        <w:tc>
          <w:tcPr>
            <w:tcW w:w="851"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2</w:t>
            </w:r>
          </w:p>
        </w:tc>
        <w:tc>
          <w:tcPr>
            <w:tcW w:w="198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部分内设机构内部监督检查</w:t>
            </w:r>
          </w:p>
        </w:tc>
        <w:tc>
          <w:tcPr>
            <w:tcW w:w="184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办公室、预算科、国库科、社保科、经建科、农业科</w:t>
            </w:r>
          </w:p>
        </w:tc>
        <w:tc>
          <w:tcPr>
            <w:tcW w:w="993"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2020年</w:t>
            </w:r>
          </w:p>
        </w:tc>
        <w:tc>
          <w:tcPr>
            <w:tcW w:w="1417"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5-8月</w:t>
            </w:r>
          </w:p>
        </w:tc>
        <w:tc>
          <w:tcPr>
            <w:tcW w:w="155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财政监督科</w:t>
            </w:r>
          </w:p>
        </w:tc>
        <w:tc>
          <w:tcPr>
            <w:tcW w:w="1701"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相关科室</w:t>
            </w:r>
          </w:p>
        </w:tc>
      </w:tr>
      <w:tr>
        <w:tblPrEx>
          <w:tblCellMar>
            <w:top w:w="0" w:type="dxa"/>
            <w:left w:w="108" w:type="dxa"/>
            <w:bottom w:w="0" w:type="dxa"/>
            <w:right w:w="108" w:type="dxa"/>
          </w:tblCellMar>
        </w:tblPrEx>
        <w:trPr>
          <w:trHeight w:val="559" w:hRule="atLeast"/>
        </w:trPr>
        <w:tc>
          <w:tcPr>
            <w:tcW w:w="851"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3</w:t>
            </w:r>
          </w:p>
        </w:tc>
        <w:tc>
          <w:tcPr>
            <w:tcW w:w="1985" w:type="dxa"/>
            <w:tcBorders>
              <w:top w:val="nil"/>
              <w:left w:val="nil"/>
              <w:bottom w:val="single" w:color="auto" w:sz="4" w:space="0"/>
              <w:right w:val="single" w:color="auto" w:sz="4" w:space="0"/>
            </w:tcBorders>
            <w:shd w:val="clear" w:color="000000" w:fill="FFFFFF"/>
            <w:noWrap/>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财政“互联网+监督”检查</w:t>
            </w:r>
          </w:p>
        </w:tc>
        <w:tc>
          <w:tcPr>
            <w:tcW w:w="184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部门预算管理科室</w:t>
            </w:r>
          </w:p>
        </w:tc>
        <w:tc>
          <w:tcPr>
            <w:tcW w:w="993"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2021年</w:t>
            </w:r>
          </w:p>
        </w:tc>
        <w:tc>
          <w:tcPr>
            <w:tcW w:w="141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根据文件通知</w:t>
            </w:r>
          </w:p>
        </w:tc>
        <w:tc>
          <w:tcPr>
            <w:tcW w:w="155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财政监督科</w:t>
            </w:r>
          </w:p>
        </w:tc>
        <w:tc>
          <w:tcPr>
            <w:tcW w:w="1701"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部门预算管理科室、预算科、国库科</w:t>
            </w:r>
          </w:p>
        </w:tc>
      </w:tr>
      <w:tr>
        <w:tblPrEx>
          <w:tblCellMar>
            <w:top w:w="0" w:type="dxa"/>
            <w:left w:w="108" w:type="dxa"/>
            <w:bottom w:w="0" w:type="dxa"/>
            <w:right w:w="108" w:type="dxa"/>
          </w:tblCellMar>
        </w:tblPrEx>
        <w:trPr>
          <w:trHeight w:val="559" w:hRule="atLeast"/>
        </w:trPr>
        <w:tc>
          <w:tcPr>
            <w:tcW w:w="851"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4</w:t>
            </w:r>
          </w:p>
        </w:tc>
        <w:tc>
          <w:tcPr>
            <w:tcW w:w="1985" w:type="dxa"/>
            <w:tcBorders>
              <w:top w:val="nil"/>
              <w:left w:val="nil"/>
              <w:bottom w:val="single" w:color="auto" w:sz="4" w:space="0"/>
              <w:right w:val="single" w:color="auto" w:sz="4" w:space="0"/>
            </w:tcBorders>
            <w:shd w:val="clear" w:color="000000" w:fill="FFFFFF"/>
            <w:noWrap/>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专户资金银行账户三方对账监督检查</w:t>
            </w:r>
          </w:p>
        </w:tc>
        <w:tc>
          <w:tcPr>
            <w:tcW w:w="184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国库集中支付中心、分管专户资金业务科室及局属单位</w:t>
            </w:r>
          </w:p>
        </w:tc>
        <w:tc>
          <w:tcPr>
            <w:tcW w:w="993"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2021年</w:t>
            </w:r>
          </w:p>
        </w:tc>
        <w:tc>
          <w:tcPr>
            <w:tcW w:w="141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每月终了15日内</w:t>
            </w:r>
          </w:p>
        </w:tc>
        <w:tc>
          <w:tcPr>
            <w:tcW w:w="155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财政监督科</w:t>
            </w:r>
          </w:p>
        </w:tc>
        <w:tc>
          <w:tcPr>
            <w:tcW w:w="1701"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专户资金管理科室、局属单位</w:t>
            </w:r>
          </w:p>
        </w:tc>
      </w:tr>
      <w:tr>
        <w:tblPrEx>
          <w:tblCellMar>
            <w:top w:w="0" w:type="dxa"/>
            <w:left w:w="108" w:type="dxa"/>
            <w:bottom w:w="0" w:type="dxa"/>
            <w:right w:w="108" w:type="dxa"/>
          </w:tblCellMar>
        </w:tblPrEx>
        <w:trPr>
          <w:trHeight w:val="559" w:hRule="atLeast"/>
        </w:trPr>
        <w:tc>
          <w:tcPr>
            <w:tcW w:w="851"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5</w:t>
            </w:r>
          </w:p>
        </w:tc>
        <w:tc>
          <w:tcPr>
            <w:tcW w:w="198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集采机构相关政府采购内控制度检查</w:t>
            </w:r>
          </w:p>
        </w:tc>
        <w:tc>
          <w:tcPr>
            <w:tcW w:w="184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市公共资源交易中心</w:t>
            </w:r>
          </w:p>
        </w:tc>
        <w:tc>
          <w:tcPr>
            <w:tcW w:w="993"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2020年</w:t>
            </w:r>
          </w:p>
        </w:tc>
        <w:tc>
          <w:tcPr>
            <w:tcW w:w="141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9月</w:t>
            </w:r>
          </w:p>
        </w:tc>
        <w:tc>
          <w:tcPr>
            <w:tcW w:w="155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财政监督科</w:t>
            </w:r>
          </w:p>
        </w:tc>
        <w:tc>
          <w:tcPr>
            <w:tcW w:w="1701"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政府采购科、资产管理科、</w:t>
            </w:r>
          </w:p>
        </w:tc>
      </w:tr>
      <w:tr>
        <w:tblPrEx>
          <w:tblCellMar>
            <w:top w:w="0" w:type="dxa"/>
            <w:left w:w="108" w:type="dxa"/>
            <w:bottom w:w="0" w:type="dxa"/>
            <w:right w:w="108" w:type="dxa"/>
          </w:tblCellMar>
        </w:tblPrEx>
        <w:trPr>
          <w:trHeight w:val="559" w:hRule="atLeast"/>
        </w:trPr>
        <w:tc>
          <w:tcPr>
            <w:tcW w:w="851"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ascii="宋体" w:hAnsi="宋体" w:cs="宋体"/>
                <w:b/>
                <w:bCs/>
                <w:kern w:val="0"/>
                <w:sz w:val="18"/>
                <w:szCs w:val="18"/>
              </w:rPr>
            </w:pPr>
          </w:p>
        </w:tc>
        <w:tc>
          <w:tcPr>
            <w:tcW w:w="1985"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宋体" w:hAnsi="宋体" w:cs="宋体"/>
                <w:b/>
                <w:bCs/>
                <w:kern w:val="0"/>
                <w:sz w:val="18"/>
                <w:szCs w:val="18"/>
              </w:rPr>
            </w:pPr>
            <w:r>
              <w:rPr>
                <w:rFonts w:hint="eastAsia" w:ascii="宋体" w:hAnsi="宋体" w:cs="宋体"/>
                <w:b/>
                <w:bCs/>
                <w:kern w:val="0"/>
                <w:sz w:val="18"/>
                <w:szCs w:val="18"/>
              </w:rPr>
              <w:t>二、会计信息监督检查</w:t>
            </w:r>
          </w:p>
        </w:tc>
        <w:tc>
          <w:tcPr>
            <w:tcW w:w="184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cs="宋体"/>
                <w:kern w:val="0"/>
                <w:sz w:val="18"/>
                <w:szCs w:val="18"/>
              </w:rPr>
            </w:pPr>
          </w:p>
        </w:tc>
        <w:tc>
          <w:tcPr>
            <w:tcW w:w="993"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cs="宋体"/>
                <w:kern w:val="0"/>
                <w:sz w:val="18"/>
                <w:szCs w:val="18"/>
              </w:rPr>
            </w:pPr>
          </w:p>
        </w:tc>
        <w:tc>
          <w:tcPr>
            <w:tcW w:w="1417"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cs="宋体"/>
                <w:kern w:val="0"/>
                <w:sz w:val="18"/>
                <w:szCs w:val="18"/>
              </w:rPr>
            </w:pPr>
          </w:p>
        </w:tc>
        <w:tc>
          <w:tcPr>
            <w:tcW w:w="1559" w:type="dxa"/>
            <w:tcBorders>
              <w:top w:val="nil"/>
              <w:left w:val="nil"/>
              <w:bottom w:val="single" w:color="auto" w:sz="4" w:space="0"/>
              <w:right w:val="single" w:color="auto" w:sz="4" w:space="0"/>
            </w:tcBorders>
            <w:shd w:val="clear" w:color="auto" w:fill="auto"/>
            <w:vAlign w:val="bottom"/>
          </w:tcPr>
          <w:p>
            <w:pPr>
              <w:widowControl/>
              <w:spacing w:line="240" w:lineRule="exact"/>
              <w:jc w:val="center"/>
              <w:rPr>
                <w:rFonts w:ascii="宋体" w:hAnsi="宋体" w:cs="宋体"/>
                <w:kern w:val="0"/>
                <w:sz w:val="18"/>
                <w:szCs w:val="18"/>
              </w:rPr>
            </w:pPr>
          </w:p>
        </w:tc>
        <w:tc>
          <w:tcPr>
            <w:tcW w:w="1701" w:type="dxa"/>
            <w:tcBorders>
              <w:top w:val="nil"/>
              <w:left w:val="nil"/>
              <w:bottom w:val="single" w:color="auto" w:sz="4" w:space="0"/>
              <w:right w:val="single" w:color="auto" w:sz="4" w:space="0"/>
            </w:tcBorders>
            <w:vAlign w:val="bottom"/>
          </w:tcPr>
          <w:p>
            <w:pPr>
              <w:widowControl/>
              <w:spacing w:line="240" w:lineRule="exact"/>
              <w:jc w:val="center"/>
              <w:rPr>
                <w:rFonts w:ascii="宋体" w:hAnsi="宋体" w:cs="宋体"/>
                <w:kern w:val="0"/>
                <w:sz w:val="18"/>
                <w:szCs w:val="18"/>
              </w:rPr>
            </w:pPr>
          </w:p>
        </w:tc>
      </w:tr>
      <w:tr>
        <w:tblPrEx>
          <w:tblCellMar>
            <w:top w:w="0" w:type="dxa"/>
            <w:left w:w="108" w:type="dxa"/>
            <w:bottom w:w="0" w:type="dxa"/>
            <w:right w:w="108" w:type="dxa"/>
          </w:tblCellMar>
        </w:tblPrEx>
        <w:trPr>
          <w:trHeight w:val="559" w:hRule="atLeast"/>
        </w:trPr>
        <w:tc>
          <w:tcPr>
            <w:tcW w:w="851"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6</w:t>
            </w:r>
          </w:p>
        </w:tc>
        <w:tc>
          <w:tcPr>
            <w:tcW w:w="198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担保业务风险防控检查</w:t>
            </w:r>
          </w:p>
        </w:tc>
        <w:tc>
          <w:tcPr>
            <w:tcW w:w="184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市融资担保有限责任公司</w:t>
            </w:r>
          </w:p>
        </w:tc>
        <w:tc>
          <w:tcPr>
            <w:tcW w:w="993"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2020年</w:t>
            </w:r>
          </w:p>
        </w:tc>
        <w:tc>
          <w:tcPr>
            <w:tcW w:w="1417"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4月</w:t>
            </w:r>
          </w:p>
        </w:tc>
        <w:tc>
          <w:tcPr>
            <w:tcW w:w="155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财政监督科</w:t>
            </w:r>
          </w:p>
        </w:tc>
        <w:tc>
          <w:tcPr>
            <w:tcW w:w="1701"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金融科</w:t>
            </w:r>
          </w:p>
        </w:tc>
      </w:tr>
      <w:tr>
        <w:tblPrEx>
          <w:tblCellMar>
            <w:top w:w="0" w:type="dxa"/>
            <w:left w:w="108" w:type="dxa"/>
            <w:bottom w:w="0" w:type="dxa"/>
            <w:right w:w="108" w:type="dxa"/>
          </w:tblCellMar>
        </w:tblPrEx>
        <w:trPr>
          <w:trHeight w:val="444" w:hRule="atLeast"/>
        </w:trPr>
        <w:tc>
          <w:tcPr>
            <w:tcW w:w="851"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7</w:t>
            </w:r>
          </w:p>
        </w:tc>
        <w:tc>
          <w:tcPr>
            <w:tcW w:w="198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会计信息质量检查</w:t>
            </w:r>
          </w:p>
        </w:tc>
        <w:tc>
          <w:tcPr>
            <w:tcW w:w="184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市林业局</w:t>
            </w:r>
          </w:p>
        </w:tc>
        <w:tc>
          <w:tcPr>
            <w:tcW w:w="993"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2020年</w:t>
            </w:r>
          </w:p>
        </w:tc>
        <w:tc>
          <w:tcPr>
            <w:tcW w:w="1417"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7月</w:t>
            </w:r>
          </w:p>
        </w:tc>
        <w:tc>
          <w:tcPr>
            <w:tcW w:w="155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财政监督科</w:t>
            </w:r>
          </w:p>
        </w:tc>
        <w:tc>
          <w:tcPr>
            <w:tcW w:w="1701"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资环科</w:t>
            </w:r>
          </w:p>
        </w:tc>
      </w:tr>
      <w:tr>
        <w:tblPrEx>
          <w:tblCellMar>
            <w:top w:w="0" w:type="dxa"/>
            <w:left w:w="108" w:type="dxa"/>
            <w:bottom w:w="0" w:type="dxa"/>
            <w:right w:w="108" w:type="dxa"/>
          </w:tblCellMar>
        </w:tblPrEx>
        <w:trPr>
          <w:trHeight w:val="559" w:hRule="atLeast"/>
        </w:trPr>
        <w:tc>
          <w:tcPr>
            <w:tcW w:w="851"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ascii="宋体" w:hAnsi="宋体" w:cs="宋体"/>
                <w:b/>
                <w:bCs/>
                <w:kern w:val="0"/>
                <w:sz w:val="18"/>
                <w:szCs w:val="18"/>
              </w:rPr>
            </w:pPr>
          </w:p>
        </w:tc>
        <w:tc>
          <w:tcPr>
            <w:tcW w:w="1985"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宋体" w:hAnsi="宋体" w:cs="宋体"/>
                <w:b/>
                <w:bCs/>
                <w:kern w:val="0"/>
                <w:sz w:val="18"/>
                <w:szCs w:val="18"/>
              </w:rPr>
            </w:pPr>
            <w:r>
              <w:rPr>
                <w:rFonts w:hint="eastAsia" w:ascii="宋体" w:hAnsi="宋体" w:cs="宋体"/>
                <w:b/>
                <w:bCs/>
                <w:kern w:val="0"/>
                <w:sz w:val="18"/>
                <w:szCs w:val="18"/>
              </w:rPr>
              <w:t>三、专项资金监督检查</w:t>
            </w:r>
          </w:p>
        </w:tc>
        <w:tc>
          <w:tcPr>
            <w:tcW w:w="184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cs="宋体"/>
                <w:kern w:val="0"/>
                <w:sz w:val="18"/>
                <w:szCs w:val="18"/>
              </w:rPr>
            </w:pPr>
          </w:p>
        </w:tc>
        <w:tc>
          <w:tcPr>
            <w:tcW w:w="993"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cs="宋体"/>
                <w:kern w:val="0"/>
                <w:sz w:val="18"/>
                <w:szCs w:val="18"/>
              </w:rPr>
            </w:pPr>
          </w:p>
        </w:tc>
        <w:tc>
          <w:tcPr>
            <w:tcW w:w="1417"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cs="宋体"/>
                <w:kern w:val="0"/>
                <w:sz w:val="18"/>
                <w:szCs w:val="18"/>
              </w:rPr>
            </w:pPr>
          </w:p>
        </w:tc>
        <w:tc>
          <w:tcPr>
            <w:tcW w:w="1559" w:type="dxa"/>
            <w:tcBorders>
              <w:top w:val="nil"/>
              <w:left w:val="nil"/>
              <w:bottom w:val="single" w:color="auto" w:sz="4" w:space="0"/>
              <w:right w:val="single" w:color="auto" w:sz="4" w:space="0"/>
            </w:tcBorders>
            <w:shd w:val="clear" w:color="auto" w:fill="auto"/>
            <w:vAlign w:val="bottom"/>
          </w:tcPr>
          <w:p>
            <w:pPr>
              <w:widowControl/>
              <w:spacing w:line="240" w:lineRule="exact"/>
              <w:jc w:val="center"/>
              <w:rPr>
                <w:rFonts w:ascii="宋体" w:hAnsi="宋体" w:cs="宋体"/>
                <w:kern w:val="0"/>
                <w:sz w:val="18"/>
                <w:szCs w:val="18"/>
              </w:rPr>
            </w:pPr>
          </w:p>
        </w:tc>
        <w:tc>
          <w:tcPr>
            <w:tcW w:w="1701" w:type="dxa"/>
            <w:tcBorders>
              <w:top w:val="nil"/>
              <w:left w:val="nil"/>
              <w:bottom w:val="single" w:color="auto" w:sz="4" w:space="0"/>
              <w:right w:val="single" w:color="auto" w:sz="4" w:space="0"/>
            </w:tcBorders>
            <w:vAlign w:val="bottom"/>
          </w:tcPr>
          <w:p>
            <w:pPr>
              <w:widowControl/>
              <w:spacing w:line="240" w:lineRule="exact"/>
              <w:jc w:val="center"/>
              <w:rPr>
                <w:rFonts w:ascii="宋体" w:hAnsi="宋体" w:cs="宋体"/>
                <w:kern w:val="0"/>
                <w:sz w:val="18"/>
                <w:szCs w:val="18"/>
              </w:rPr>
            </w:pPr>
          </w:p>
        </w:tc>
      </w:tr>
      <w:tr>
        <w:tblPrEx>
          <w:tblCellMar>
            <w:top w:w="0" w:type="dxa"/>
            <w:left w:w="108" w:type="dxa"/>
            <w:bottom w:w="0" w:type="dxa"/>
            <w:right w:w="108" w:type="dxa"/>
          </w:tblCellMar>
        </w:tblPrEx>
        <w:trPr>
          <w:trHeight w:val="1249" w:hRule="atLeast"/>
        </w:trPr>
        <w:tc>
          <w:tcPr>
            <w:tcW w:w="851"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8</w:t>
            </w:r>
          </w:p>
        </w:tc>
        <w:tc>
          <w:tcPr>
            <w:tcW w:w="198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应对新冠疫情帮扶服务业小微企业和个体工商户缓解房屋租金压力财政补助资金检查</w:t>
            </w:r>
          </w:p>
        </w:tc>
        <w:tc>
          <w:tcPr>
            <w:tcW w:w="184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市市场服务中心</w:t>
            </w:r>
          </w:p>
        </w:tc>
        <w:tc>
          <w:tcPr>
            <w:tcW w:w="993"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2021年</w:t>
            </w:r>
          </w:p>
        </w:tc>
        <w:tc>
          <w:tcPr>
            <w:tcW w:w="1417"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6月</w:t>
            </w:r>
          </w:p>
        </w:tc>
        <w:tc>
          <w:tcPr>
            <w:tcW w:w="155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财政监督科</w:t>
            </w:r>
          </w:p>
        </w:tc>
        <w:tc>
          <w:tcPr>
            <w:tcW w:w="1701"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外经科</w:t>
            </w:r>
          </w:p>
        </w:tc>
      </w:tr>
      <w:tr>
        <w:tblPrEx>
          <w:tblCellMar>
            <w:top w:w="0" w:type="dxa"/>
            <w:left w:w="108" w:type="dxa"/>
            <w:bottom w:w="0" w:type="dxa"/>
            <w:right w:w="108" w:type="dxa"/>
          </w:tblCellMar>
        </w:tblPrEx>
        <w:trPr>
          <w:trHeight w:val="559" w:hRule="atLeast"/>
        </w:trPr>
        <w:tc>
          <w:tcPr>
            <w:tcW w:w="851"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ascii="宋体" w:hAnsi="宋体" w:cs="宋体"/>
                <w:b/>
                <w:bCs/>
                <w:kern w:val="0"/>
                <w:sz w:val="18"/>
                <w:szCs w:val="18"/>
              </w:rPr>
            </w:pPr>
          </w:p>
        </w:tc>
        <w:tc>
          <w:tcPr>
            <w:tcW w:w="1985"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宋体" w:hAnsi="宋体" w:cs="宋体"/>
                <w:b/>
                <w:bCs/>
                <w:kern w:val="0"/>
                <w:sz w:val="18"/>
                <w:szCs w:val="18"/>
              </w:rPr>
            </w:pPr>
            <w:r>
              <w:rPr>
                <w:rFonts w:hint="eastAsia" w:ascii="宋体" w:hAnsi="宋体" w:cs="宋体"/>
                <w:b/>
                <w:bCs/>
                <w:kern w:val="0"/>
                <w:sz w:val="18"/>
                <w:szCs w:val="18"/>
              </w:rPr>
              <w:t>四、其他</w:t>
            </w:r>
          </w:p>
        </w:tc>
        <w:tc>
          <w:tcPr>
            <w:tcW w:w="184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cs="宋体"/>
                <w:kern w:val="0"/>
                <w:sz w:val="18"/>
                <w:szCs w:val="18"/>
              </w:rPr>
            </w:pPr>
          </w:p>
        </w:tc>
        <w:tc>
          <w:tcPr>
            <w:tcW w:w="993"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cs="宋体"/>
                <w:color w:val="000000"/>
                <w:kern w:val="0"/>
                <w:sz w:val="18"/>
                <w:szCs w:val="18"/>
              </w:rPr>
            </w:pPr>
          </w:p>
        </w:tc>
        <w:tc>
          <w:tcPr>
            <w:tcW w:w="141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cs="宋体"/>
                <w:kern w:val="0"/>
                <w:sz w:val="18"/>
                <w:szCs w:val="18"/>
              </w:rPr>
            </w:pPr>
          </w:p>
        </w:tc>
        <w:tc>
          <w:tcPr>
            <w:tcW w:w="155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cs="宋体"/>
                <w:kern w:val="0"/>
                <w:sz w:val="18"/>
                <w:szCs w:val="18"/>
              </w:rPr>
            </w:pPr>
          </w:p>
        </w:tc>
        <w:tc>
          <w:tcPr>
            <w:tcW w:w="1701"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p>
        </w:tc>
      </w:tr>
      <w:tr>
        <w:tblPrEx>
          <w:tblCellMar>
            <w:top w:w="0" w:type="dxa"/>
            <w:left w:w="108" w:type="dxa"/>
            <w:bottom w:w="0" w:type="dxa"/>
            <w:right w:w="108" w:type="dxa"/>
          </w:tblCellMar>
        </w:tblPrEx>
        <w:trPr>
          <w:trHeight w:val="679" w:hRule="atLeast"/>
        </w:trPr>
        <w:tc>
          <w:tcPr>
            <w:tcW w:w="851"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9</w:t>
            </w:r>
          </w:p>
        </w:tc>
        <w:tc>
          <w:tcPr>
            <w:tcW w:w="198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职业年金检查</w:t>
            </w:r>
          </w:p>
        </w:tc>
        <w:tc>
          <w:tcPr>
            <w:tcW w:w="184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市社会保险服务中心</w:t>
            </w:r>
          </w:p>
        </w:tc>
        <w:tc>
          <w:tcPr>
            <w:tcW w:w="993"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2014.10-2020年</w:t>
            </w:r>
          </w:p>
        </w:tc>
        <w:tc>
          <w:tcPr>
            <w:tcW w:w="141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5月</w:t>
            </w:r>
          </w:p>
        </w:tc>
        <w:tc>
          <w:tcPr>
            <w:tcW w:w="155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财政监督科（委托中介机构）</w:t>
            </w:r>
          </w:p>
        </w:tc>
        <w:tc>
          <w:tcPr>
            <w:tcW w:w="1701"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社保科</w:t>
            </w:r>
          </w:p>
        </w:tc>
      </w:tr>
      <w:tr>
        <w:tblPrEx>
          <w:tblCellMar>
            <w:top w:w="0" w:type="dxa"/>
            <w:left w:w="108" w:type="dxa"/>
            <w:bottom w:w="0" w:type="dxa"/>
            <w:right w:w="108" w:type="dxa"/>
          </w:tblCellMar>
        </w:tblPrEx>
        <w:trPr>
          <w:trHeight w:val="510" w:hRule="atLeast"/>
        </w:trPr>
        <w:tc>
          <w:tcPr>
            <w:tcW w:w="851"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198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住房公积金财政监督检查</w:t>
            </w:r>
          </w:p>
        </w:tc>
        <w:tc>
          <w:tcPr>
            <w:tcW w:w="184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市住房公积金管理中心</w:t>
            </w:r>
          </w:p>
        </w:tc>
        <w:tc>
          <w:tcPr>
            <w:tcW w:w="993"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2020年</w:t>
            </w:r>
          </w:p>
        </w:tc>
        <w:tc>
          <w:tcPr>
            <w:tcW w:w="141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4月</w:t>
            </w:r>
          </w:p>
        </w:tc>
        <w:tc>
          <w:tcPr>
            <w:tcW w:w="155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财政监督科（委托中介机构）</w:t>
            </w:r>
          </w:p>
        </w:tc>
        <w:tc>
          <w:tcPr>
            <w:tcW w:w="1701"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综合科</w:t>
            </w:r>
          </w:p>
        </w:tc>
      </w:tr>
      <w:tr>
        <w:tblPrEx>
          <w:tblCellMar>
            <w:top w:w="0" w:type="dxa"/>
            <w:left w:w="108" w:type="dxa"/>
            <w:bottom w:w="0" w:type="dxa"/>
            <w:right w:w="108" w:type="dxa"/>
          </w:tblCellMar>
        </w:tblPrEx>
        <w:trPr>
          <w:trHeight w:val="663" w:hRule="atLeast"/>
        </w:trPr>
        <w:tc>
          <w:tcPr>
            <w:tcW w:w="851"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11</w:t>
            </w:r>
          </w:p>
        </w:tc>
        <w:tc>
          <w:tcPr>
            <w:tcW w:w="198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完成上级和局领导交办的其他检查任务</w:t>
            </w:r>
          </w:p>
        </w:tc>
        <w:tc>
          <w:tcPr>
            <w:tcW w:w="184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赫山区、桃江县园区财务检查</w:t>
            </w:r>
          </w:p>
        </w:tc>
        <w:tc>
          <w:tcPr>
            <w:tcW w:w="993"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2018-2020年</w:t>
            </w:r>
          </w:p>
        </w:tc>
        <w:tc>
          <w:tcPr>
            <w:tcW w:w="141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4-7月</w:t>
            </w:r>
          </w:p>
        </w:tc>
        <w:tc>
          <w:tcPr>
            <w:tcW w:w="155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财政监督科（委托中介机构）</w:t>
            </w:r>
          </w:p>
        </w:tc>
        <w:tc>
          <w:tcPr>
            <w:tcW w:w="1701"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相关区县</w:t>
            </w:r>
          </w:p>
        </w:tc>
      </w:tr>
    </w:tbl>
    <w:p>
      <w:pPr>
        <w:widowControl/>
        <w:ind w:firstLine="140" w:firstLineChars="50"/>
        <w:jc w:val="left"/>
        <w:rPr>
          <w:rFonts w:ascii="仿宋_GB2312" w:hAnsi="Times New Roman" w:eastAsia="仿宋_GB2312" w:cs="Times New Roman"/>
          <w:sz w:val="28"/>
          <w:szCs w:val="28"/>
        </w:rPr>
      </w:pPr>
    </w:p>
    <w:p>
      <w:pPr>
        <w:widowControl/>
        <w:ind w:firstLine="140" w:firstLineChars="50"/>
        <w:jc w:val="left"/>
        <w:rPr>
          <w:rFonts w:ascii="仿宋_GB2312" w:hAnsi="Times New Roman" w:eastAsia="仿宋_GB2312" w:cs="Times New Roman"/>
          <w:sz w:val="28"/>
          <w:szCs w:val="28"/>
        </w:rPr>
      </w:pPr>
    </w:p>
    <w:p>
      <w:pPr>
        <w:widowControl/>
        <w:ind w:firstLine="140" w:firstLineChars="50"/>
        <w:jc w:val="left"/>
        <w:rPr>
          <w:rFonts w:ascii="仿宋_GB2312" w:hAnsi="Times New Roman" w:eastAsia="仿宋_GB2312" w:cs="Times New Roman"/>
          <w:sz w:val="28"/>
          <w:szCs w:val="28"/>
        </w:rPr>
      </w:pPr>
    </w:p>
    <w:sectPr>
      <w:footerReference r:id="rId3" w:type="default"/>
      <w:footerReference r:id="rId4" w:type="even"/>
      <w:pgSz w:w="11907" w:h="16840"/>
      <w:pgMar w:top="1701" w:right="1474" w:bottom="1588" w:left="1588"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黑体"/>
    <w:panose1 w:val="02010601030101010101"/>
    <w:charset w:val="86"/>
    <w:family w:val="auto"/>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3350518"/>
      <w:docPartObj>
        <w:docPartGallery w:val="AutoText"/>
      </w:docPartObj>
    </w:sdtPr>
    <w:sdtEndPr>
      <w:rPr>
        <w:rFonts w:hint="eastAsia" w:ascii="仿宋_GB2312" w:eastAsia="仿宋_GB2312"/>
        <w:sz w:val="28"/>
        <w:szCs w:val="28"/>
      </w:rPr>
    </w:sdtEndPr>
    <w:sdtContent>
      <w:p>
        <w:pPr>
          <w:pStyle w:val="4"/>
          <w:jc w:val="right"/>
        </w:pPr>
        <w:r>
          <w:rPr>
            <w:rFonts w:hint="eastAsia" w:ascii="仿宋_GB2312" w:eastAsia="仿宋_GB2312"/>
            <w:sz w:val="28"/>
            <w:szCs w:val="28"/>
          </w:rPr>
          <w:t>—</w:t>
        </w: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1</w:t>
        </w:r>
        <w:r>
          <w:rPr>
            <w:rFonts w:hint="eastAsia" w:ascii="仿宋_GB2312" w:eastAsia="仿宋_GB2312"/>
            <w:sz w:val="28"/>
            <w:szCs w:val="28"/>
          </w:rPr>
          <w:fldChar w:fldCharType="end"/>
        </w:r>
        <w:r>
          <w:rPr>
            <w:rFonts w:hint="eastAsia" w:ascii="仿宋_GB2312" w:eastAsia="仿宋_GB2312"/>
            <w:sz w:val="28"/>
            <w:szCs w:val="28"/>
          </w:rPr>
          <w:t>—</w:t>
        </w:r>
      </w:p>
    </w:sdtContent>
  </w:sdt>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rFonts w:hint="eastAsia" w:ascii="仿宋_GB2312" w:eastAsia="仿宋_GB2312"/>
        <w:sz w:val="28"/>
        <w:szCs w:val="28"/>
      </w:rPr>
      <w:t>—</w:t>
    </w:r>
    <w:sdt>
      <w:sdtPr>
        <w:rPr>
          <w:rFonts w:hint="eastAsia" w:ascii="仿宋_GB2312" w:eastAsia="仿宋_GB2312"/>
          <w:sz w:val="28"/>
          <w:szCs w:val="28"/>
        </w:rPr>
        <w:id w:val="23350517"/>
        <w:docPartObj>
          <w:docPartGallery w:val="AutoText"/>
        </w:docPartObj>
      </w:sdtPr>
      <w:sdtEndPr>
        <w:rPr>
          <w:rFonts w:hint="default" w:asciiTheme="minorHAnsi" w:eastAsiaTheme="minorEastAsia"/>
          <w:sz w:val="18"/>
          <w:szCs w:val="18"/>
        </w:rPr>
      </w:sdtEndPr>
      <w:sdtContent>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2</w:t>
        </w:r>
        <w:r>
          <w:rPr>
            <w:rFonts w:hint="eastAsia" w:ascii="仿宋_GB2312" w:eastAsia="仿宋_GB2312"/>
            <w:sz w:val="28"/>
            <w:szCs w:val="28"/>
          </w:rPr>
          <w:fldChar w:fldCharType="end"/>
        </w:r>
        <w:r>
          <w:rPr>
            <w:rFonts w:hint="eastAsia" w:ascii="仿宋_GB2312" w:eastAsia="仿宋_GB2312"/>
            <w:sz w:val="28"/>
            <w:szCs w:val="28"/>
          </w:rPr>
          <w:t>—</w:t>
        </w:r>
      </w:sdtContent>
    </w:sdt>
  </w:p>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2111"/>
    <w:rsid w:val="00067814"/>
    <w:rsid w:val="000866E4"/>
    <w:rsid w:val="000A14CA"/>
    <w:rsid w:val="000A7423"/>
    <w:rsid w:val="000C2A52"/>
    <w:rsid w:val="000D5725"/>
    <w:rsid w:val="001819A9"/>
    <w:rsid w:val="001963BA"/>
    <w:rsid w:val="001B4D1B"/>
    <w:rsid w:val="002422B9"/>
    <w:rsid w:val="002A3690"/>
    <w:rsid w:val="002A5B11"/>
    <w:rsid w:val="002A7FDE"/>
    <w:rsid w:val="00302B07"/>
    <w:rsid w:val="00406BC0"/>
    <w:rsid w:val="00460FCD"/>
    <w:rsid w:val="00490885"/>
    <w:rsid w:val="004A5F3D"/>
    <w:rsid w:val="004D65AB"/>
    <w:rsid w:val="005E2F9D"/>
    <w:rsid w:val="006B25F7"/>
    <w:rsid w:val="006B68DD"/>
    <w:rsid w:val="0075176C"/>
    <w:rsid w:val="00756517"/>
    <w:rsid w:val="00762111"/>
    <w:rsid w:val="007D169B"/>
    <w:rsid w:val="0080263D"/>
    <w:rsid w:val="00803F05"/>
    <w:rsid w:val="00831258"/>
    <w:rsid w:val="00860FEF"/>
    <w:rsid w:val="00872956"/>
    <w:rsid w:val="00907B64"/>
    <w:rsid w:val="00920798"/>
    <w:rsid w:val="00923087"/>
    <w:rsid w:val="00937081"/>
    <w:rsid w:val="00992F3D"/>
    <w:rsid w:val="009A2CC5"/>
    <w:rsid w:val="00A00C31"/>
    <w:rsid w:val="00A34A98"/>
    <w:rsid w:val="00A55A2B"/>
    <w:rsid w:val="00A86A58"/>
    <w:rsid w:val="00A9482E"/>
    <w:rsid w:val="00B40D25"/>
    <w:rsid w:val="00B718C6"/>
    <w:rsid w:val="00B8178A"/>
    <w:rsid w:val="00BA498C"/>
    <w:rsid w:val="00BE3A2E"/>
    <w:rsid w:val="00C75E73"/>
    <w:rsid w:val="00CD7FE5"/>
    <w:rsid w:val="00D6400D"/>
    <w:rsid w:val="00DB7AEE"/>
    <w:rsid w:val="00E27792"/>
    <w:rsid w:val="00E33D7A"/>
    <w:rsid w:val="00E60C0E"/>
    <w:rsid w:val="00EB3C6F"/>
    <w:rsid w:val="00EF3E22"/>
    <w:rsid w:val="00F0033E"/>
    <w:rsid w:val="00F15280"/>
    <w:rsid w:val="00F21DB2"/>
    <w:rsid w:val="00F5574F"/>
    <w:rsid w:val="00FA5509"/>
    <w:rsid w:val="00FB1D60"/>
    <w:rsid w:val="06331E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0"/>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Date"/>
    <w:basedOn w:val="1"/>
    <w:next w:val="1"/>
    <w:link w:val="12"/>
    <w:semiHidden/>
    <w:unhideWhenUsed/>
    <w:qFormat/>
    <w:uiPriority w:val="99"/>
    <w:pPr>
      <w:ind w:left="100" w:leftChars="2500"/>
    </w:p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toc 1"/>
    <w:basedOn w:val="1"/>
    <w:next w:val="1"/>
    <w:qFormat/>
    <w:uiPriority w:val="99"/>
    <w:rPr>
      <w:rFonts w:ascii="黑体" w:hAnsi="黑体" w:eastAsia="黑体" w:cs="Times New Roman"/>
      <w:sz w:val="32"/>
      <w:szCs w:val="32"/>
    </w:rPr>
  </w:style>
  <w:style w:type="paragraph" w:styleId="7">
    <w:name w:val="Normal (Web)"/>
    <w:basedOn w:val="1"/>
    <w:qFormat/>
    <w:uiPriority w:val="0"/>
    <w:rPr>
      <w:sz w:val="24"/>
      <w:szCs w:val="24"/>
    </w:rPr>
  </w:style>
  <w:style w:type="character" w:customStyle="1" w:styleId="10">
    <w:name w:val="标题 1 Char"/>
    <w:basedOn w:val="9"/>
    <w:link w:val="2"/>
    <w:qFormat/>
    <w:uiPriority w:val="9"/>
    <w:rPr>
      <w:b/>
      <w:bCs/>
      <w:kern w:val="44"/>
      <w:sz w:val="44"/>
      <w:szCs w:val="44"/>
    </w:rPr>
  </w:style>
  <w:style w:type="paragraph" w:styleId="11">
    <w:name w:val="List Paragraph"/>
    <w:basedOn w:val="1"/>
    <w:qFormat/>
    <w:uiPriority w:val="34"/>
    <w:pPr>
      <w:ind w:firstLine="420" w:firstLineChars="200"/>
    </w:pPr>
  </w:style>
  <w:style w:type="character" w:customStyle="1" w:styleId="12">
    <w:name w:val="日期 Char"/>
    <w:basedOn w:val="9"/>
    <w:link w:val="3"/>
    <w:semiHidden/>
    <w:qFormat/>
    <w:uiPriority w:val="99"/>
  </w:style>
  <w:style w:type="character" w:customStyle="1" w:styleId="13">
    <w:name w:val="页眉 Char"/>
    <w:basedOn w:val="9"/>
    <w:link w:val="5"/>
    <w:semiHidden/>
    <w:qFormat/>
    <w:uiPriority w:val="99"/>
    <w:rPr>
      <w:sz w:val="18"/>
      <w:szCs w:val="18"/>
    </w:rPr>
  </w:style>
  <w:style w:type="character" w:customStyle="1" w:styleId="14">
    <w:name w:val="页脚 Char"/>
    <w:basedOn w:val="9"/>
    <w:link w:val="4"/>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51879D0-B19F-4057-AB03-02A03A341622}">
  <ds:schemaRefs/>
</ds:datastoreItem>
</file>

<file path=docProps/app.xml><?xml version="1.0" encoding="utf-8"?>
<Properties xmlns="http://schemas.openxmlformats.org/officeDocument/2006/extended-properties" xmlns:vt="http://schemas.openxmlformats.org/officeDocument/2006/docPropsVTypes">
  <Template>Normal</Template>
  <Pages>5</Pages>
  <Words>306</Words>
  <Characters>1745</Characters>
  <Lines>14</Lines>
  <Paragraphs>4</Paragraphs>
  <TotalTime>9</TotalTime>
  <ScaleCrop>false</ScaleCrop>
  <LinksUpToDate>false</LinksUpToDate>
  <CharactersWithSpaces>2047</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2021-03-31T09:13:00Z</dcterms:created>
  <dc:creator>Administrator</dc:creator>
  <cp:lastModifiedBy>Administrator</cp:lastModifiedBy>
  <cp:lastPrinted>2021-03-30T07:37:00Z</cp:lastPrinted>
  <dcterms:modified xsi:type="dcterms:W3CDTF">2021-03-31T09:21:29Z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33DFA753C2E34037AF127AEFE1E5253D</vt:lpwstr>
  </property>
</Properties>
</file>