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44"/>
        </w:rPr>
      </w:pPr>
      <w:r>
        <w:rPr>
          <w:rFonts w:ascii="宋体" w:hAnsi="宋体" w:eastAsia="宋体" w:cs="宋体"/>
          <w:sz w:val="44"/>
        </w:rPr>
        <w:t>目</w:t>
      </w:r>
      <w:r>
        <w:rPr>
          <w:rFonts w:hint="eastAsia" w:ascii="宋体" w:hAnsi="宋体" w:eastAsia="宋体" w:cs="宋体"/>
          <w:sz w:val="44"/>
        </w:rPr>
        <w:t xml:space="preserve">   </w:t>
      </w:r>
      <w:r>
        <w:rPr>
          <w:rFonts w:ascii="方正小标宋_GBK" w:hAnsi="方正小标宋_GBK" w:eastAsia="方正小标宋_GBK" w:cs="方正小标宋_GBK"/>
          <w:sz w:val="44"/>
        </w:rPr>
        <w:t xml:space="preserve"> </w:t>
      </w:r>
      <w:r>
        <w:rPr>
          <w:rFonts w:ascii="宋体" w:hAnsi="宋体" w:eastAsia="宋体" w:cs="宋体"/>
          <w:sz w:val="44"/>
        </w:rPr>
        <w:t>录</w:t>
      </w:r>
    </w:p>
    <w:p>
      <w:pPr>
        <w:spacing w:line="560" w:lineRule="exact"/>
        <w:ind w:firstLine="3200"/>
        <w:rPr>
          <w:rFonts w:ascii="仿宋" w:hAnsi="仿宋" w:eastAsia="仿宋" w:cs="仿宋"/>
          <w:sz w:val="32"/>
        </w:rPr>
      </w:pPr>
    </w:p>
    <w:p>
      <w:pPr>
        <w:spacing w:line="560" w:lineRule="exact"/>
        <w:rPr>
          <w:rFonts w:ascii="黑体" w:hAnsi="黑体" w:eastAsia="黑体" w:cs="黑体"/>
          <w:sz w:val="32"/>
        </w:rPr>
      </w:pPr>
      <w:r>
        <w:rPr>
          <w:rFonts w:ascii="黑体" w:hAnsi="黑体" w:eastAsia="黑体" w:cs="黑体"/>
          <w:sz w:val="32"/>
        </w:rPr>
        <w:t>第一部分</w:t>
      </w:r>
      <w:r>
        <w:rPr>
          <w:rFonts w:hint="eastAsia" w:ascii="黑体" w:hAnsi="黑体" w:eastAsia="黑体" w:cs="黑体"/>
          <w:sz w:val="32"/>
        </w:rPr>
        <w:t>益阳市市政工程服务中心</w:t>
      </w:r>
      <w:r>
        <w:rPr>
          <w:rFonts w:ascii="黑体" w:hAnsi="黑体" w:eastAsia="黑体" w:cs="黑体"/>
          <w:sz w:val="32"/>
        </w:rPr>
        <w:t xml:space="preserve">单位概况 </w:t>
      </w:r>
    </w:p>
    <w:p>
      <w:pPr>
        <w:spacing w:line="560" w:lineRule="exact"/>
        <w:rPr>
          <w:rFonts w:ascii="楷体" w:hAnsi="楷体" w:eastAsia="楷体" w:cs="楷体"/>
          <w:sz w:val="32"/>
        </w:rPr>
      </w:pPr>
      <w:r>
        <w:rPr>
          <w:rFonts w:ascii="楷体" w:hAnsi="楷体" w:eastAsia="楷体" w:cs="楷体"/>
          <w:sz w:val="32"/>
        </w:rPr>
        <w:t xml:space="preserve">一、主要职能 </w:t>
      </w:r>
    </w:p>
    <w:p>
      <w:pPr>
        <w:spacing w:line="560" w:lineRule="exact"/>
        <w:rPr>
          <w:rFonts w:ascii="楷体" w:hAnsi="楷体" w:eastAsia="楷体" w:cs="楷体"/>
          <w:sz w:val="32"/>
        </w:rPr>
      </w:pPr>
      <w:r>
        <w:rPr>
          <w:rFonts w:ascii="楷体" w:hAnsi="楷体" w:eastAsia="楷体" w:cs="楷体"/>
          <w:sz w:val="32"/>
        </w:rPr>
        <w:t>二、机构设置</w:t>
      </w:r>
    </w:p>
    <w:p>
      <w:pPr>
        <w:spacing w:line="560" w:lineRule="exact"/>
        <w:rPr>
          <w:rFonts w:ascii="楷体" w:hAnsi="楷体" w:eastAsia="楷体" w:cs="楷体"/>
          <w:sz w:val="32"/>
        </w:rPr>
      </w:pPr>
      <w:r>
        <w:rPr>
          <w:rFonts w:ascii="楷体" w:hAnsi="楷体" w:eastAsia="楷体" w:cs="楷体"/>
          <w:sz w:val="32"/>
        </w:rPr>
        <w:t xml:space="preserve">三、部门决算单位构成 </w:t>
      </w:r>
    </w:p>
    <w:p>
      <w:pPr>
        <w:spacing w:line="560" w:lineRule="exact"/>
        <w:rPr>
          <w:rFonts w:ascii="楷体" w:hAnsi="楷体" w:eastAsia="楷体" w:cs="楷体"/>
          <w:sz w:val="32"/>
        </w:rPr>
      </w:pPr>
    </w:p>
    <w:p>
      <w:pPr>
        <w:spacing w:line="560" w:lineRule="exact"/>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rPr>
        <w:t>益阳市市政工程服务中心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spacing w:line="560" w:lineRule="exact"/>
        <w:rPr>
          <w:rFonts w:ascii="楷体" w:hAnsi="楷体" w:eastAsia="楷体" w:cs="楷体"/>
          <w:sz w:val="32"/>
        </w:rPr>
      </w:pPr>
      <w:r>
        <w:rPr>
          <w:rFonts w:ascii="楷体" w:hAnsi="楷体" w:eastAsia="楷体" w:cs="楷体"/>
          <w:sz w:val="32"/>
        </w:rPr>
        <w:t>一、收入支出决算</w:t>
      </w:r>
      <w:r>
        <w:rPr>
          <w:rFonts w:hint="eastAsia" w:ascii="楷体" w:hAnsi="楷体" w:eastAsia="楷体" w:cs="楷体"/>
          <w:sz w:val="32"/>
        </w:rPr>
        <w:t>公开</w:t>
      </w:r>
      <w:r>
        <w:rPr>
          <w:rFonts w:ascii="楷体" w:hAnsi="楷体" w:eastAsia="楷体" w:cs="楷体"/>
          <w:sz w:val="32"/>
        </w:rPr>
        <w:t xml:space="preserve">表 </w:t>
      </w:r>
    </w:p>
    <w:p>
      <w:pPr>
        <w:spacing w:line="560" w:lineRule="exact"/>
        <w:rPr>
          <w:rFonts w:ascii="楷体" w:hAnsi="楷体" w:eastAsia="楷体" w:cs="楷体"/>
          <w:sz w:val="32"/>
        </w:rPr>
      </w:pPr>
      <w:r>
        <w:rPr>
          <w:rFonts w:ascii="楷体" w:hAnsi="楷体" w:eastAsia="楷体" w:cs="楷体"/>
          <w:sz w:val="32"/>
        </w:rPr>
        <w:t>二、收入决算</w:t>
      </w:r>
      <w:r>
        <w:rPr>
          <w:rFonts w:hint="eastAsia" w:ascii="楷体" w:hAnsi="楷体" w:eastAsia="楷体" w:cs="楷体"/>
          <w:sz w:val="32"/>
        </w:rPr>
        <w:t>公开</w:t>
      </w:r>
      <w:r>
        <w:rPr>
          <w:rFonts w:ascii="楷体" w:hAnsi="楷体" w:eastAsia="楷体" w:cs="楷体"/>
          <w:sz w:val="32"/>
        </w:rPr>
        <w:t xml:space="preserve">表 </w:t>
      </w:r>
    </w:p>
    <w:p>
      <w:pPr>
        <w:spacing w:line="560" w:lineRule="exact"/>
        <w:rPr>
          <w:rFonts w:ascii="楷体" w:hAnsi="楷体" w:eastAsia="楷体" w:cs="楷体"/>
          <w:sz w:val="32"/>
        </w:rPr>
      </w:pPr>
      <w:r>
        <w:rPr>
          <w:rFonts w:ascii="楷体" w:hAnsi="楷体" w:eastAsia="楷体" w:cs="楷体"/>
          <w:sz w:val="32"/>
        </w:rPr>
        <w:t>三、支出决算</w:t>
      </w:r>
      <w:r>
        <w:rPr>
          <w:rFonts w:hint="eastAsia" w:ascii="楷体" w:hAnsi="楷体" w:eastAsia="楷体" w:cs="楷体"/>
          <w:sz w:val="32"/>
        </w:rPr>
        <w:t>公开</w:t>
      </w:r>
      <w:r>
        <w:rPr>
          <w:rFonts w:ascii="楷体" w:hAnsi="楷体" w:eastAsia="楷体" w:cs="楷体"/>
          <w:sz w:val="32"/>
        </w:rPr>
        <w:t xml:space="preserve">表 </w:t>
      </w:r>
    </w:p>
    <w:p>
      <w:pPr>
        <w:spacing w:line="560" w:lineRule="exact"/>
        <w:rPr>
          <w:rFonts w:ascii="楷体" w:hAnsi="楷体" w:eastAsia="楷体" w:cs="楷体"/>
          <w:sz w:val="32"/>
        </w:rPr>
      </w:pPr>
      <w:r>
        <w:rPr>
          <w:rFonts w:ascii="楷体" w:hAnsi="楷体" w:eastAsia="楷体" w:cs="楷体"/>
          <w:sz w:val="32"/>
        </w:rPr>
        <w:t>四、财政拨款收入支出决算</w:t>
      </w:r>
      <w:r>
        <w:rPr>
          <w:rFonts w:hint="eastAsia" w:ascii="楷体" w:hAnsi="楷体" w:eastAsia="楷体" w:cs="楷体"/>
          <w:sz w:val="32"/>
        </w:rPr>
        <w:t>公开</w:t>
      </w:r>
      <w:r>
        <w:rPr>
          <w:rFonts w:ascii="楷体" w:hAnsi="楷体" w:eastAsia="楷体" w:cs="楷体"/>
          <w:sz w:val="32"/>
        </w:rPr>
        <w:t xml:space="preserve">表 </w:t>
      </w:r>
    </w:p>
    <w:p>
      <w:pPr>
        <w:spacing w:line="560" w:lineRule="exact"/>
        <w:rPr>
          <w:rFonts w:ascii="楷体" w:hAnsi="楷体" w:eastAsia="楷体" w:cs="楷体"/>
          <w:sz w:val="32"/>
        </w:rPr>
      </w:pPr>
      <w:r>
        <w:rPr>
          <w:rFonts w:ascii="楷体" w:hAnsi="楷体" w:eastAsia="楷体" w:cs="楷体"/>
          <w:sz w:val="32"/>
        </w:rPr>
        <w:t>五、一般公共预算财政拨款支出决算</w:t>
      </w:r>
      <w:r>
        <w:rPr>
          <w:rFonts w:hint="eastAsia" w:ascii="楷体" w:hAnsi="楷体" w:eastAsia="楷体" w:cs="楷体"/>
          <w:sz w:val="32"/>
        </w:rPr>
        <w:t>公开</w:t>
      </w:r>
      <w:r>
        <w:rPr>
          <w:rFonts w:ascii="楷体" w:hAnsi="楷体" w:eastAsia="楷体" w:cs="楷体"/>
          <w:sz w:val="32"/>
        </w:rPr>
        <w:t xml:space="preserve">表 </w:t>
      </w:r>
    </w:p>
    <w:p>
      <w:pPr>
        <w:spacing w:line="560" w:lineRule="exact"/>
        <w:rPr>
          <w:rFonts w:ascii="楷体" w:hAnsi="楷体" w:eastAsia="楷体" w:cs="楷体"/>
          <w:sz w:val="32"/>
        </w:rPr>
      </w:pPr>
      <w:r>
        <w:rPr>
          <w:rFonts w:ascii="楷体" w:hAnsi="楷体" w:eastAsia="楷体" w:cs="楷体"/>
          <w:sz w:val="32"/>
        </w:rPr>
        <w:t>六、一般公共预算财政拨款基本支出决算</w:t>
      </w:r>
      <w:r>
        <w:rPr>
          <w:rFonts w:hint="eastAsia" w:ascii="楷体" w:hAnsi="楷体" w:eastAsia="楷体" w:cs="楷体"/>
          <w:sz w:val="32"/>
        </w:rPr>
        <w:t>公开</w:t>
      </w:r>
      <w:r>
        <w:rPr>
          <w:rFonts w:ascii="楷体" w:hAnsi="楷体" w:eastAsia="楷体" w:cs="楷体"/>
          <w:sz w:val="32"/>
        </w:rPr>
        <w:t xml:space="preserve">表 </w:t>
      </w:r>
    </w:p>
    <w:p>
      <w:pPr>
        <w:spacing w:line="560" w:lineRule="exact"/>
        <w:rPr>
          <w:rFonts w:ascii="楷体" w:hAnsi="楷体" w:eastAsia="楷体" w:cs="楷体"/>
          <w:sz w:val="32"/>
        </w:rPr>
      </w:pPr>
      <w:r>
        <w:rPr>
          <w:rFonts w:ascii="楷体" w:hAnsi="楷体" w:eastAsia="楷体" w:cs="楷体"/>
          <w:sz w:val="32"/>
        </w:rPr>
        <w:t>七、一般公共预算财政拨款“三公”经费支出决算</w:t>
      </w:r>
      <w:r>
        <w:rPr>
          <w:rFonts w:hint="eastAsia" w:ascii="楷体" w:hAnsi="楷体" w:eastAsia="楷体" w:cs="楷体"/>
          <w:sz w:val="32"/>
        </w:rPr>
        <w:t>公开</w:t>
      </w:r>
      <w:r>
        <w:rPr>
          <w:rFonts w:ascii="楷体" w:hAnsi="楷体" w:eastAsia="楷体" w:cs="楷体"/>
          <w:sz w:val="32"/>
        </w:rPr>
        <w:t xml:space="preserve">表 </w:t>
      </w:r>
    </w:p>
    <w:p>
      <w:pPr>
        <w:spacing w:line="560" w:lineRule="exact"/>
        <w:rPr>
          <w:rFonts w:ascii="楷体" w:hAnsi="楷体" w:eastAsia="楷体" w:cs="楷体"/>
          <w:sz w:val="32"/>
        </w:rPr>
      </w:pPr>
      <w:r>
        <w:rPr>
          <w:rFonts w:ascii="楷体" w:hAnsi="楷体" w:eastAsia="楷体" w:cs="楷体"/>
          <w:sz w:val="32"/>
        </w:rPr>
        <w:t>八、政府性基金预算财政拨款收入支出决算</w:t>
      </w:r>
      <w:r>
        <w:rPr>
          <w:rFonts w:hint="eastAsia" w:ascii="楷体" w:hAnsi="楷体" w:eastAsia="楷体" w:cs="楷体"/>
          <w:sz w:val="32"/>
        </w:rPr>
        <w:t>公开</w:t>
      </w:r>
      <w:r>
        <w:rPr>
          <w:rFonts w:ascii="楷体" w:hAnsi="楷体" w:eastAsia="楷体" w:cs="楷体"/>
          <w:sz w:val="32"/>
        </w:rPr>
        <w:t xml:space="preserve">表 </w:t>
      </w:r>
    </w:p>
    <w:p>
      <w:pPr>
        <w:spacing w:line="560" w:lineRule="exact"/>
        <w:rPr>
          <w:rFonts w:ascii="楷体" w:hAnsi="楷体" w:eastAsia="楷体" w:cs="楷体"/>
          <w:sz w:val="32"/>
        </w:rPr>
      </w:pPr>
    </w:p>
    <w:p>
      <w:pPr>
        <w:spacing w:line="560" w:lineRule="exact"/>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rPr>
        <w:t>益阳市市政工程服务中心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spacing w:line="560" w:lineRule="exact"/>
        <w:rPr>
          <w:rFonts w:ascii="黑体" w:hAnsi="黑体" w:eastAsia="黑体" w:cs="黑体"/>
          <w:sz w:val="32"/>
        </w:rPr>
      </w:pPr>
    </w:p>
    <w:p>
      <w:pPr>
        <w:numPr>
          <w:ilvl w:val="0"/>
          <w:numId w:val="1"/>
        </w:numPr>
        <w:spacing w:line="560" w:lineRule="exact"/>
        <w:rPr>
          <w:rFonts w:ascii="黑体" w:hAnsi="黑体" w:eastAsia="黑体" w:cs="黑体"/>
          <w:sz w:val="32"/>
        </w:rPr>
      </w:pPr>
      <w:r>
        <w:rPr>
          <w:rFonts w:ascii="黑体" w:hAnsi="黑体" w:eastAsia="黑体" w:cs="黑体"/>
          <w:sz w:val="32"/>
        </w:rPr>
        <w:t>名词解释</w:t>
      </w:r>
    </w:p>
    <w:p>
      <w:pPr>
        <w:spacing w:line="560" w:lineRule="exact"/>
        <w:rPr>
          <w:rFonts w:ascii="黑体" w:hAnsi="黑体" w:eastAsia="黑体" w:cs="黑体"/>
          <w:sz w:val="32"/>
        </w:rPr>
      </w:pPr>
    </w:p>
    <w:p>
      <w:pPr>
        <w:spacing w:line="560" w:lineRule="exact"/>
        <w:rPr>
          <w:rFonts w:ascii="黑体" w:hAnsi="黑体" w:eastAsia="黑体" w:cs="黑体"/>
          <w:sz w:val="32"/>
        </w:rPr>
      </w:pPr>
    </w:p>
    <w:p>
      <w:pPr>
        <w:spacing w:line="560" w:lineRule="exact"/>
        <w:jc w:val="center"/>
        <w:rPr>
          <w:rFonts w:ascii="宋体" w:hAnsi="宋体" w:eastAsia="宋体" w:cs="宋体"/>
          <w:sz w:val="44"/>
        </w:rPr>
      </w:pPr>
    </w:p>
    <w:p>
      <w:pPr>
        <w:spacing w:line="560" w:lineRule="exact"/>
        <w:jc w:val="center"/>
        <w:rPr>
          <w:rFonts w:ascii="宋体" w:hAnsi="宋体" w:eastAsia="宋体" w:cs="宋体"/>
          <w:sz w:val="44"/>
        </w:rPr>
      </w:pPr>
      <w:r>
        <w:rPr>
          <w:rFonts w:hint="eastAsia" w:ascii="宋体" w:hAnsi="宋体" w:eastAsia="宋体" w:cs="宋体"/>
          <w:sz w:val="44"/>
        </w:rPr>
        <w:t>第一部分 益阳市市政工程服务中心</w:t>
      </w:r>
      <w:r>
        <w:rPr>
          <w:rFonts w:ascii="宋体" w:hAnsi="宋体" w:eastAsia="宋体" w:cs="宋体"/>
          <w:sz w:val="44"/>
        </w:rPr>
        <w:t>单位</w:t>
      </w:r>
    </w:p>
    <w:p>
      <w:pPr>
        <w:spacing w:line="560" w:lineRule="exact"/>
        <w:jc w:val="center"/>
        <w:rPr>
          <w:rFonts w:ascii="宋体" w:hAnsi="宋体" w:eastAsia="宋体" w:cs="宋体"/>
          <w:sz w:val="44"/>
        </w:rPr>
      </w:pPr>
      <w:r>
        <w:rPr>
          <w:rFonts w:ascii="宋体" w:hAnsi="宋体" w:eastAsia="宋体" w:cs="宋体"/>
          <w:sz w:val="44"/>
        </w:rPr>
        <w:t>概</w:t>
      </w:r>
      <w:r>
        <w:rPr>
          <w:rFonts w:hint="eastAsia" w:ascii="宋体" w:hAnsi="宋体" w:eastAsia="宋体" w:cs="宋体"/>
          <w:sz w:val="44"/>
        </w:rPr>
        <w:t xml:space="preserve">     </w:t>
      </w:r>
      <w:r>
        <w:rPr>
          <w:rFonts w:ascii="宋体" w:hAnsi="宋体" w:eastAsia="宋体" w:cs="宋体"/>
          <w:sz w:val="44"/>
        </w:rPr>
        <w:t>况</w:t>
      </w:r>
    </w:p>
    <w:p>
      <w:pPr>
        <w:spacing w:line="560" w:lineRule="exact"/>
        <w:jc w:val="center"/>
        <w:rPr>
          <w:rFonts w:ascii="方正小标宋_GBK" w:hAnsi="方正小标宋_GBK" w:eastAsia="方正小标宋_GBK" w:cs="方正小标宋_GBK"/>
          <w:sz w:val="44"/>
        </w:rPr>
      </w:pPr>
    </w:p>
    <w:p>
      <w:pPr>
        <w:spacing w:line="560" w:lineRule="exact"/>
        <w:jc w:val="left"/>
        <w:rPr>
          <w:rFonts w:ascii="黑体" w:hAnsi="黑体" w:eastAsia="黑体" w:cs="黑体"/>
          <w:sz w:val="32"/>
        </w:rPr>
      </w:pPr>
      <w:r>
        <w:rPr>
          <w:rFonts w:ascii="黑体" w:hAnsi="黑体" w:eastAsia="黑体" w:cs="黑体"/>
          <w:sz w:val="32"/>
        </w:rPr>
        <w:t>一、主要职能</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负责编制市政设施维修预算和改造资金计划;负责市本级市政基础设施的维护维修、改造服务工作;参与中心城区市政建设项目竣工验收移交等工作;参与城市防洪排涝工作;参与城市道路占用挖掘、户外广告、排水许可的施工现场查勘和批后的服务工作。</w:t>
      </w:r>
    </w:p>
    <w:p>
      <w:pPr>
        <w:numPr>
          <w:ilvl w:val="0"/>
          <w:numId w:val="2"/>
        </w:numPr>
        <w:spacing w:line="560" w:lineRule="exact"/>
        <w:ind w:firstLine="640" w:firstLineChars="200"/>
        <w:rPr>
          <w:rFonts w:ascii="黑体" w:hAnsi="黑体" w:eastAsia="黑体" w:cs="黑体"/>
          <w:sz w:val="32"/>
        </w:rPr>
      </w:pPr>
      <w:r>
        <w:rPr>
          <w:rFonts w:ascii="黑体" w:hAnsi="黑体" w:eastAsia="黑体" w:cs="黑体"/>
          <w:sz w:val="32"/>
        </w:rPr>
        <w:t>机构设置</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根据《关于市城市管理和综合执法局所属事业单位机构调整的通知》（益编发[ 2019 ]10号）第十二条，益阳市市政工程服务中心属正科级公益一类事业单位，内定设立综合科、工程科两个科室,核定全额拨款事业编制10名（实际在编11人,退休1人）。</w:t>
      </w:r>
    </w:p>
    <w:p>
      <w:pPr>
        <w:spacing w:line="560" w:lineRule="exact"/>
        <w:ind w:firstLine="640" w:firstLineChars="200"/>
        <w:jc w:val="left"/>
        <w:rPr>
          <w:rFonts w:ascii="黑体" w:hAnsi="黑体" w:eastAsia="黑体" w:cs="黑体"/>
          <w:sz w:val="32"/>
        </w:rPr>
      </w:pPr>
      <w:r>
        <w:rPr>
          <w:rFonts w:ascii="黑体" w:hAnsi="黑体" w:eastAsia="黑体" w:cs="黑体"/>
          <w:sz w:val="32"/>
        </w:rPr>
        <w:t>三、部门决算单位构成</w:t>
      </w:r>
    </w:p>
    <w:p>
      <w:pPr>
        <w:spacing w:line="560" w:lineRule="exact"/>
        <w:rPr>
          <w:rFonts w:ascii="仿宋" w:hAnsi="仿宋" w:eastAsia="仿宋" w:cs="仿宋"/>
          <w:sz w:val="32"/>
        </w:rPr>
      </w:pPr>
      <w:r>
        <w:rPr>
          <w:rFonts w:hint="eastAsia" w:ascii="楷体_GB2312" w:hAnsi="楷体_GB2312" w:eastAsia="楷体_GB2312" w:cs="楷体_GB2312"/>
          <w:sz w:val="32"/>
          <w:szCs w:val="32"/>
        </w:rPr>
        <w:t>从决算单位构成看，益阳市市政工程服务中心部门决算包括：益阳市市政工程服务中心，益阳市市政工程建设公司</w:t>
      </w:r>
    </w:p>
    <w:p>
      <w:pPr>
        <w:spacing w:line="560" w:lineRule="exact"/>
        <w:rPr>
          <w:rFonts w:ascii="仿宋" w:hAnsi="仿宋" w:eastAsia="仿宋" w:cs="仿宋"/>
          <w:sz w:val="32"/>
        </w:rPr>
      </w:pPr>
    </w:p>
    <w:tbl>
      <w:tblPr>
        <w:tblStyle w:val="4"/>
        <w:tblW w:w="8081" w:type="dxa"/>
        <w:tblInd w:w="96" w:type="dxa"/>
        <w:tblLayout w:type="fixed"/>
        <w:tblCellMar>
          <w:top w:w="0" w:type="dxa"/>
          <w:left w:w="10" w:type="dxa"/>
          <w:bottom w:w="0" w:type="dxa"/>
          <w:right w:w="10" w:type="dxa"/>
        </w:tblCellMar>
      </w:tblPr>
      <w:tblGrid>
        <w:gridCol w:w="2006"/>
        <w:gridCol w:w="6075"/>
      </w:tblGrid>
      <w:tr>
        <w:tblPrEx>
          <w:tblLayout w:type="fixed"/>
          <w:tblCellMar>
            <w:top w:w="0" w:type="dxa"/>
            <w:left w:w="10" w:type="dxa"/>
            <w:bottom w:w="0" w:type="dxa"/>
            <w:right w:w="10" w:type="dxa"/>
          </w:tblCellMar>
        </w:tblPrEx>
        <w:trPr>
          <w:trHeight w:val="1" w:hRule="atLeast"/>
        </w:trPr>
        <w:tc>
          <w:tcPr>
            <w:tcW w:w="2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560" w:lineRule="exact"/>
              <w:jc w:val="center"/>
            </w:pPr>
            <w:r>
              <w:rPr>
                <w:rFonts w:ascii="仿宋" w:hAnsi="仿宋" w:eastAsia="仿宋" w:cs="仿宋"/>
                <w:b/>
                <w:sz w:val="28"/>
              </w:rPr>
              <w:t>序号</w:t>
            </w:r>
          </w:p>
        </w:tc>
        <w:tc>
          <w:tcPr>
            <w:tcW w:w="6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560" w:lineRule="exact"/>
              <w:jc w:val="center"/>
            </w:pPr>
            <w:r>
              <w:rPr>
                <w:rFonts w:hint="eastAsia" w:ascii="楷体_GB2312" w:hAnsi="楷体_GB2312" w:eastAsia="楷体_GB2312" w:cs="楷体_GB2312"/>
                <w:sz w:val="32"/>
                <w:szCs w:val="32"/>
              </w:rPr>
              <w:t>益阳市市政工程服务中心</w:t>
            </w:r>
            <w:r>
              <w:rPr>
                <w:rFonts w:hint="eastAsia" w:ascii="仿宋" w:hAnsi="仿宋" w:eastAsia="仿宋" w:cs="仿宋"/>
                <w:b/>
                <w:sz w:val="28"/>
              </w:rPr>
              <w:t>决算</w:t>
            </w:r>
            <w:r>
              <w:rPr>
                <w:rFonts w:ascii="仿宋" w:hAnsi="仿宋" w:eastAsia="仿宋" w:cs="仿宋"/>
                <w:b/>
                <w:sz w:val="28"/>
              </w:rPr>
              <w:t>单位名称</w:t>
            </w:r>
          </w:p>
        </w:tc>
      </w:tr>
      <w:tr>
        <w:tblPrEx>
          <w:tblLayout w:type="fixed"/>
          <w:tblCellMar>
            <w:top w:w="0" w:type="dxa"/>
            <w:left w:w="10" w:type="dxa"/>
            <w:bottom w:w="0" w:type="dxa"/>
            <w:right w:w="10" w:type="dxa"/>
          </w:tblCellMar>
        </w:tblPrEx>
        <w:trPr>
          <w:trHeight w:val="23" w:hRule="atLeast"/>
        </w:trPr>
        <w:tc>
          <w:tcPr>
            <w:tcW w:w="2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560" w:lineRule="exact"/>
              <w:jc w:val="center"/>
              <w:rPr>
                <w:rFonts w:ascii="楷体_GB2312" w:hAnsi="楷体_GB2312" w:eastAsia="楷体_GB2312" w:cs="楷体_GB2312"/>
              </w:rPr>
            </w:pPr>
            <w:r>
              <w:rPr>
                <w:rFonts w:hint="eastAsia" w:ascii="楷体_GB2312" w:hAnsi="楷体_GB2312" w:eastAsia="楷体_GB2312" w:cs="楷体_GB2312"/>
                <w:b/>
                <w:sz w:val="32"/>
                <w:szCs w:val="32"/>
              </w:rPr>
              <w:t>1</w:t>
            </w:r>
          </w:p>
        </w:tc>
        <w:tc>
          <w:tcPr>
            <w:tcW w:w="6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560" w:lineRule="exact"/>
              <w:jc w:val="left"/>
              <w:rPr>
                <w:rFonts w:ascii="楷体_GB2312" w:hAnsi="楷体_GB2312" w:eastAsia="楷体_GB2312" w:cs="楷体_GB2312"/>
                <w:sz w:val="22"/>
              </w:rPr>
            </w:pPr>
            <w:r>
              <w:rPr>
                <w:rFonts w:hint="eastAsia" w:ascii="楷体_GB2312" w:hAnsi="楷体_GB2312" w:eastAsia="楷体_GB2312" w:cs="楷体_GB2312"/>
                <w:sz w:val="32"/>
                <w:szCs w:val="32"/>
              </w:rPr>
              <w:t>益阳市市政工程服务中心</w:t>
            </w:r>
          </w:p>
        </w:tc>
      </w:tr>
      <w:tr>
        <w:tblPrEx>
          <w:tblLayout w:type="fixed"/>
          <w:tblCellMar>
            <w:top w:w="0" w:type="dxa"/>
            <w:left w:w="10" w:type="dxa"/>
            <w:bottom w:w="0" w:type="dxa"/>
            <w:right w:w="10" w:type="dxa"/>
          </w:tblCellMar>
        </w:tblPrEx>
        <w:trPr>
          <w:trHeight w:val="23" w:hRule="atLeast"/>
        </w:trPr>
        <w:tc>
          <w:tcPr>
            <w:tcW w:w="2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560" w:lineRule="exact"/>
              <w:jc w:val="center"/>
              <w:rPr>
                <w:rFonts w:ascii="楷体_GB2312" w:hAnsi="楷体_GB2312" w:eastAsia="楷体_GB2312" w:cs="楷体_GB2312"/>
              </w:rPr>
            </w:pPr>
            <w:r>
              <w:rPr>
                <w:rFonts w:hint="eastAsia" w:ascii="楷体_GB2312" w:hAnsi="楷体_GB2312" w:eastAsia="楷体_GB2312" w:cs="楷体_GB2312"/>
                <w:b/>
                <w:sz w:val="32"/>
                <w:szCs w:val="32"/>
              </w:rPr>
              <w:t>2</w:t>
            </w:r>
          </w:p>
        </w:tc>
        <w:tc>
          <w:tcPr>
            <w:tcW w:w="6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560" w:lineRule="exact"/>
              <w:jc w:val="left"/>
              <w:rPr>
                <w:rFonts w:ascii="楷体_GB2312" w:hAnsi="楷体_GB2312" w:eastAsia="楷体_GB2312" w:cs="楷体_GB2312"/>
                <w:sz w:val="22"/>
              </w:rPr>
            </w:pPr>
            <w:r>
              <w:rPr>
                <w:rFonts w:hint="eastAsia" w:ascii="楷体_GB2312" w:hAnsi="楷体_GB2312" w:eastAsia="楷体_GB2312" w:cs="楷体_GB2312"/>
                <w:sz w:val="32"/>
                <w:szCs w:val="32"/>
              </w:rPr>
              <w:t>益阳市市政工程建设公司</w:t>
            </w:r>
          </w:p>
        </w:tc>
      </w:tr>
    </w:tbl>
    <w:p>
      <w:pPr>
        <w:spacing w:line="560" w:lineRule="exact"/>
        <w:rPr>
          <w:rFonts w:ascii="仿宋" w:hAnsi="仿宋" w:eastAsia="仿宋" w:cs="仿宋"/>
          <w:sz w:val="32"/>
        </w:rPr>
      </w:pPr>
    </w:p>
    <w:p>
      <w:pPr>
        <w:spacing w:line="560" w:lineRule="exact"/>
        <w:rPr>
          <w:rFonts w:ascii="仿宋" w:hAnsi="仿宋" w:eastAsia="仿宋" w:cs="仿宋"/>
          <w:sz w:val="32"/>
        </w:rPr>
      </w:pPr>
    </w:p>
    <w:p>
      <w:pPr>
        <w:spacing w:line="560" w:lineRule="exact"/>
        <w:rPr>
          <w:rFonts w:ascii="仿宋" w:hAnsi="仿宋" w:eastAsia="仿宋" w:cs="仿宋"/>
          <w:sz w:val="32"/>
        </w:rPr>
      </w:pPr>
    </w:p>
    <w:p>
      <w:pPr>
        <w:spacing w:line="560" w:lineRule="exact"/>
        <w:rPr>
          <w:rFonts w:ascii="仿宋" w:hAnsi="仿宋" w:eastAsia="仿宋" w:cs="仿宋"/>
          <w:sz w:val="32"/>
        </w:rPr>
      </w:pPr>
    </w:p>
    <w:p>
      <w:pPr>
        <w:numPr>
          <w:ilvl w:val="0"/>
          <w:numId w:val="3"/>
        </w:numPr>
        <w:spacing w:line="560" w:lineRule="exact"/>
        <w:jc w:val="center"/>
        <w:rPr>
          <w:rFonts w:ascii="宋体" w:hAnsi="宋体" w:eastAsia="宋体" w:cs="宋体"/>
          <w:sz w:val="44"/>
        </w:rPr>
      </w:pPr>
      <w:r>
        <w:rPr>
          <w:rFonts w:hint="eastAsia" w:ascii="宋体" w:hAnsi="宋体" w:eastAsia="宋体" w:cs="宋体"/>
          <w:sz w:val="44"/>
        </w:rPr>
        <w:t>益阳市市政工程服务中心</w:t>
      </w:r>
    </w:p>
    <w:p>
      <w:pPr>
        <w:spacing w:line="560" w:lineRule="exact"/>
        <w:jc w:val="center"/>
        <w:rPr>
          <w:rFonts w:ascii="方正小标宋_GBK" w:hAnsi="方正小标宋_GBK" w:eastAsia="方正小标宋_GBK" w:cs="方正小标宋_GBK"/>
          <w:sz w:val="44"/>
        </w:rPr>
      </w:pPr>
      <w:r>
        <w:rPr>
          <w:rFonts w:ascii="宋体" w:hAnsi="宋体" w:eastAsia="宋体" w:cs="宋体"/>
          <w:sz w:val="44"/>
        </w:rPr>
        <w:t>201</w:t>
      </w:r>
      <w:r>
        <w:rPr>
          <w:rFonts w:hint="eastAsia" w:ascii="宋体" w:hAnsi="宋体" w:eastAsia="宋体" w:cs="宋体"/>
          <w:sz w:val="44"/>
        </w:rPr>
        <w:t>9</w:t>
      </w:r>
      <w:r>
        <w:rPr>
          <w:rFonts w:ascii="宋体" w:hAnsi="宋体" w:eastAsia="宋体" w:cs="宋体"/>
          <w:sz w:val="44"/>
        </w:rPr>
        <w:t>年度部门决算</w:t>
      </w:r>
      <w:r>
        <w:rPr>
          <w:rFonts w:hint="eastAsia" w:ascii="宋体" w:hAnsi="宋体" w:eastAsia="宋体" w:cs="宋体"/>
          <w:sz w:val="44"/>
        </w:rPr>
        <w:t>公开</w:t>
      </w:r>
      <w:r>
        <w:rPr>
          <w:rFonts w:ascii="宋体" w:hAnsi="宋体" w:eastAsia="宋体" w:cs="宋体"/>
          <w:sz w:val="44"/>
        </w:rPr>
        <w:t>表</w:t>
      </w:r>
    </w:p>
    <w:p>
      <w:pPr>
        <w:spacing w:line="560" w:lineRule="exact"/>
        <w:ind w:firstLine="640"/>
        <w:rPr>
          <w:rFonts w:ascii="仿宋" w:hAnsi="仿宋" w:eastAsia="仿宋" w:cs="仿宋"/>
          <w:sz w:val="32"/>
        </w:rPr>
      </w:pPr>
    </w:p>
    <w:p>
      <w:pPr>
        <w:spacing w:line="640" w:lineRule="exact"/>
        <w:jc w:val="left"/>
        <w:rPr>
          <w:rFonts w:ascii="仿宋" w:hAnsi="仿宋" w:eastAsia="仿宋" w:cs="仿宋"/>
          <w:sz w:val="32"/>
        </w:rPr>
      </w:pPr>
      <w:r>
        <w:rPr>
          <w:rFonts w:ascii="仿宋" w:hAnsi="仿宋" w:eastAsia="仿宋" w:cs="仿宋"/>
          <w:sz w:val="32"/>
        </w:rPr>
        <w:t>表1：收入支出决算</w:t>
      </w:r>
      <w:r>
        <w:rPr>
          <w:rFonts w:hint="eastAsia" w:ascii="仿宋" w:hAnsi="仿宋" w:eastAsia="仿宋" w:cs="仿宋"/>
          <w:sz w:val="32"/>
        </w:rPr>
        <w:t>公开</w:t>
      </w:r>
      <w:r>
        <w:rPr>
          <w:rFonts w:ascii="仿宋" w:hAnsi="仿宋" w:eastAsia="仿宋" w:cs="仿宋"/>
          <w:sz w:val="32"/>
        </w:rPr>
        <w:t>表</w:t>
      </w:r>
    </w:p>
    <w:p>
      <w:pPr>
        <w:spacing w:line="640" w:lineRule="exact"/>
        <w:jc w:val="left"/>
        <w:rPr>
          <w:rFonts w:ascii="仿宋" w:hAnsi="仿宋" w:eastAsia="仿宋" w:cs="仿宋"/>
          <w:sz w:val="32"/>
        </w:rPr>
      </w:pPr>
      <w:r>
        <w:rPr>
          <w:rFonts w:ascii="仿宋" w:hAnsi="仿宋" w:eastAsia="仿宋" w:cs="仿宋"/>
          <w:sz w:val="32"/>
        </w:rPr>
        <w:t>表2：收入决算</w:t>
      </w:r>
      <w:r>
        <w:rPr>
          <w:rFonts w:hint="eastAsia" w:ascii="仿宋" w:hAnsi="仿宋" w:eastAsia="仿宋" w:cs="仿宋"/>
          <w:sz w:val="32"/>
        </w:rPr>
        <w:t>公开</w:t>
      </w:r>
      <w:r>
        <w:rPr>
          <w:rFonts w:ascii="仿宋" w:hAnsi="仿宋" w:eastAsia="仿宋" w:cs="仿宋"/>
          <w:sz w:val="32"/>
        </w:rPr>
        <w:t>表</w:t>
      </w:r>
    </w:p>
    <w:p>
      <w:pPr>
        <w:spacing w:line="640" w:lineRule="exact"/>
        <w:jc w:val="left"/>
        <w:rPr>
          <w:rFonts w:ascii="仿宋" w:hAnsi="仿宋" w:eastAsia="仿宋" w:cs="仿宋"/>
          <w:sz w:val="32"/>
        </w:rPr>
      </w:pPr>
      <w:r>
        <w:rPr>
          <w:rFonts w:ascii="仿宋" w:hAnsi="仿宋" w:eastAsia="仿宋" w:cs="仿宋"/>
          <w:sz w:val="32"/>
        </w:rPr>
        <w:t>表3：支出决算</w:t>
      </w:r>
      <w:r>
        <w:rPr>
          <w:rFonts w:hint="eastAsia" w:ascii="仿宋" w:hAnsi="仿宋" w:eastAsia="仿宋" w:cs="仿宋"/>
          <w:sz w:val="32"/>
        </w:rPr>
        <w:t>公开</w:t>
      </w:r>
      <w:r>
        <w:rPr>
          <w:rFonts w:ascii="仿宋" w:hAnsi="仿宋" w:eastAsia="仿宋" w:cs="仿宋"/>
          <w:sz w:val="32"/>
        </w:rPr>
        <w:t>表</w:t>
      </w:r>
    </w:p>
    <w:p>
      <w:pPr>
        <w:spacing w:line="640" w:lineRule="exact"/>
        <w:jc w:val="left"/>
        <w:rPr>
          <w:rFonts w:ascii="仿宋" w:hAnsi="仿宋" w:eastAsia="仿宋" w:cs="仿宋"/>
          <w:sz w:val="32"/>
        </w:rPr>
      </w:pPr>
      <w:r>
        <w:rPr>
          <w:rFonts w:ascii="仿宋" w:hAnsi="仿宋" w:eastAsia="仿宋" w:cs="仿宋"/>
          <w:sz w:val="32"/>
        </w:rPr>
        <w:t>表4：财政拨款收入支出决算</w:t>
      </w:r>
      <w:r>
        <w:rPr>
          <w:rFonts w:hint="eastAsia" w:ascii="仿宋" w:hAnsi="仿宋" w:eastAsia="仿宋" w:cs="仿宋"/>
          <w:sz w:val="32"/>
        </w:rPr>
        <w:t>公开</w:t>
      </w:r>
      <w:r>
        <w:rPr>
          <w:rFonts w:ascii="仿宋" w:hAnsi="仿宋" w:eastAsia="仿宋" w:cs="仿宋"/>
          <w:sz w:val="32"/>
        </w:rPr>
        <w:t>表</w:t>
      </w:r>
    </w:p>
    <w:p>
      <w:pPr>
        <w:spacing w:line="640" w:lineRule="exact"/>
        <w:jc w:val="left"/>
        <w:rPr>
          <w:rFonts w:ascii="仿宋" w:hAnsi="仿宋" w:eastAsia="仿宋" w:cs="仿宋"/>
          <w:sz w:val="32"/>
        </w:rPr>
      </w:pPr>
      <w:r>
        <w:rPr>
          <w:rFonts w:ascii="仿宋" w:hAnsi="仿宋" w:eastAsia="仿宋" w:cs="仿宋"/>
          <w:sz w:val="32"/>
        </w:rPr>
        <w:t>表5：一般公共预算财政拨款支出决算</w:t>
      </w:r>
      <w:r>
        <w:rPr>
          <w:rFonts w:hint="eastAsia" w:ascii="仿宋" w:hAnsi="仿宋" w:eastAsia="仿宋" w:cs="仿宋"/>
          <w:sz w:val="32"/>
        </w:rPr>
        <w:t>公开</w:t>
      </w:r>
      <w:r>
        <w:rPr>
          <w:rFonts w:ascii="仿宋" w:hAnsi="仿宋" w:eastAsia="仿宋" w:cs="仿宋"/>
          <w:sz w:val="32"/>
        </w:rPr>
        <w:t>表</w:t>
      </w:r>
    </w:p>
    <w:p>
      <w:pPr>
        <w:spacing w:line="640" w:lineRule="exact"/>
        <w:jc w:val="left"/>
        <w:rPr>
          <w:rFonts w:ascii="仿宋" w:hAnsi="仿宋" w:eastAsia="仿宋" w:cs="仿宋"/>
          <w:sz w:val="32"/>
        </w:rPr>
      </w:pPr>
      <w:r>
        <w:rPr>
          <w:rFonts w:ascii="仿宋" w:hAnsi="仿宋" w:eastAsia="仿宋" w:cs="仿宋"/>
          <w:sz w:val="32"/>
        </w:rPr>
        <w:t>表6：一般公共预算财政拨款基本支出决算</w:t>
      </w:r>
      <w:r>
        <w:rPr>
          <w:rFonts w:hint="eastAsia" w:ascii="仿宋" w:hAnsi="仿宋" w:eastAsia="仿宋" w:cs="仿宋"/>
          <w:sz w:val="32"/>
        </w:rPr>
        <w:t>公开</w:t>
      </w:r>
      <w:r>
        <w:rPr>
          <w:rFonts w:ascii="仿宋" w:hAnsi="仿宋" w:eastAsia="仿宋" w:cs="仿宋"/>
          <w:sz w:val="32"/>
        </w:rPr>
        <w:t>表</w:t>
      </w:r>
    </w:p>
    <w:p>
      <w:pPr>
        <w:spacing w:line="640" w:lineRule="exact"/>
        <w:jc w:val="left"/>
        <w:rPr>
          <w:rFonts w:hint="eastAsia" w:ascii="仿宋" w:hAnsi="仿宋" w:eastAsia="仿宋" w:cs="仿宋"/>
          <w:sz w:val="32"/>
        </w:rPr>
      </w:pPr>
      <w:r>
        <w:rPr>
          <w:rFonts w:ascii="仿宋" w:hAnsi="仿宋" w:eastAsia="仿宋" w:cs="仿宋"/>
          <w:sz w:val="32"/>
        </w:rPr>
        <w:t>表7：一般公共预算财政拨款“三公”经费支出决算</w:t>
      </w:r>
      <w:r>
        <w:rPr>
          <w:rFonts w:hint="eastAsia" w:ascii="仿宋" w:hAnsi="仿宋" w:eastAsia="仿宋" w:cs="仿宋"/>
          <w:sz w:val="32"/>
        </w:rPr>
        <w:t>公开</w:t>
      </w:r>
      <w:r>
        <w:rPr>
          <w:rFonts w:ascii="仿宋" w:hAnsi="仿宋" w:eastAsia="仿宋" w:cs="仿宋"/>
          <w:sz w:val="32"/>
        </w:rPr>
        <w:t>表</w:t>
      </w:r>
      <w:r>
        <w:rPr>
          <w:rFonts w:hint="eastAsia" w:ascii="仿宋" w:hAnsi="仿宋" w:eastAsia="仿宋" w:cs="仿宋"/>
          <w:sz w:val="32"/>
        </w:rPr>
        <w:t>。</w:t>
      </w:r>
      <w:bookmarkStart w:id="0" w:name="_GoBack"/>
      <w:bookmarkEnd w:id="0"/>
    </w:p>
    <w:p>
      <w:pPr>
        <w:spacing w:line="640" w:lineRule="exact"/>
        <w:ind w:firstLine="640" w:firstLineChars="200"/>
        <w:jc w:val="left"/>
        <w:rPr>
          <w:rFonts w:ascii="仿宋" w:hAnsi="仿宋" w:eastAsia="仿宋" w:cs="仿宋"/>
          <w:sz w:val="32"/>
        </w:rPr>
      </w:pPr>
      <w:r>
        <w:rPr>
          <w:rFonts w:hint="eastAsia" w:ascii="仿宋" w:hAnsi="仿宋" w:eastAsia="仿宋" w:cs="仿宋"/>
          <w:sz w:val="32"/>
        </w:rPr>
        <w:t>益阳市市政工程服务中心无三公经费开支。</w:t>
      </w:r>
    </w:p>
    <w:p>
      <w:pPr>
        <w:spacing w:line="640" w:lineRule="exact"/>
        <w:ind w:left="800" w:hanging="800" w:hangingChars="250"/>
        <w:jc w:val="left"/>
        <w:rPr>
          <w:rFonts w:ascii="仿宋" w:hAnsi="仿宋" w:eastAsia="仿宋" w:cs="仿宋"/>
          <w:sz w:val="32"/>
        </w:rPr>
      </w:pPr>
      <w:r>
        <w:rPr>
          <w:rFonts w:ascii="仿宋" w:hAnsi="仿宋" w:eastAsia="仿宋" w:cs="仿宋"/>
          <w:sz w:val="32"/>
        </w:rPr>
        <w:t>表8：政府性基金预算财政拨款收入支出决算</w:t>
      </w:r>
      <w:r>
        <w:rPr>
          <w:rFonts w:hint="eastAsia" w:ascii="仿宋" w:hAnsi="仿宋" w:eastAsia="仿宋" w:cs="仿宋"/>
          <w:sz w:val="32"/>
        </w:rPr>
        <w:t>公开</w:t>
      </w:r>
      <w:r>
        <w:rPr>
          <w:rFonts w:ascii="仿宋" w:hAnsi="仿宋" w:eastAsia="仿宋" w:cs="仿宋"/>
          <w:sz w:val="32"/>
        </w:rPr>
        <w:t>表</w:t>
      </w:r>
    </w:p>
    <w:p>
      <w:pPr>
        <w:spacing w:line="640" w:lineRule="exact"/>
        <w:jc w:val="left"/>
        <w:rPr>
          <w:rFonts w:ascii="仿宋" w:hAnsi="仿宋" w:eastAsia="仿宋" w:cs="仿宋"/>
          <w:sz w:val="32"/>
        </w:rPr>
      </w:pPr>
      <w:r>
        <w:rPr>
          <w:rFonts w:hint="eastAsia" w:ascii="仿宋" w:hAnsi="仿宋" w:eastAsia="仿宋" w:cs="仿宋"/>
          <w:b/>
          <w:sz w:val="32"/>
        </w:rPr>
        <w:t xml:space="preserve">     </w:t>
      </w:r>
    </w:p>
    <w:p>
      <w:pPr>
        <w:spacing w:line="560" w:lineRule="exact"/>
        <w:ind w:firstLine="640"/>
        <w:jc w:val="left"/>
        <w:rPr>
          <w:rFonts w:ascii="仿宋" w:hAnsi="仿宋" w:eastAsia="仿宋" w:cs="仿宋"/>
          <w:sz w:val="32"/>
        </w:rPr>
      </w:pPr>
    </w:p>
    <w:p>
      <w:pPr>
        <w:spacing w:line="560" w:lineRule="exact"/>
        <w:ind w:firstLine="640"/>
        <w:jc w:val="left"/>
        <w:rPr>
          <w:rFonts w:ascii="仿宋" w:hAnsi="仿宋" w:eastAsia="仿宋" w:cs="仿宋"/>
          <w:sz w:val="32"/>
        </w:rPr>
      </w:pPr>
    </w:p>
    <w:p>
      <w:pPr>
        <w:spacing w:line="560" w:lineRule="exact"/>
        <w:ind w:firstLine="640"/>
        <w:jc w:val="left"/>
        <w:rPr>
          <w:rFonts w:ascii="仿宋" w:hAnsi="仿宋" w:eastAsia="仿宋" w:cs="仿宋"/>
          <w:sz w:val="32"/>
        </w:rPr>
      </w:pPr>
    </w:p>
    <w:p>
      <w:pPr>
        <w:spacing w:line="560" w:lineRule="exact"/>
        <w:ind w:firstLine="640"/>
        <w:jc w:val="left"/>
        <w:rPr>
          <w:rFonts w:ascii="仿宋" w:hAnsi="仿宋" w:eastAsia="仿宋" w:cs="仿宋"/>
          <w:sz w:val="32"/>
        </w:rPr>
      </w:pPr>
    </w:p>
    <w:p>
      <w:pPr>
        <w:spacing w:line="560" w:lineRule="exact"/>
        <w:ind w:firstLine="640"/>
        <w:jc w:val="left"/>
        <w:rPr>
          <w:rFonts w:ascii="仿宋" w:hAnsi="仿宋" w:eastAsia="仿宋" w:cs="仿宋"/>
          <w:sz w:val="32"/>
        </w:rPr>
      </w:pPr>
    </w:p>
    <w:p>
      <w:pPr>
        <w:spacing w:line="560" w:lineRule="exact"/>
        <w:ind w:firstLine="640"/>
        <w:jc w:val="left"/>
        <w:rPr>
          <w:rFonts w:ascii="仿宋" w:hAnsi="仿宋" w:eastAsia="仿宋" w:cs="仿宋"/>
          <w:sz w:val="32"/>
        </w:rPr>
      </w:pPr>
    </w:p>
    <w:p>
      <w:pPr>
        <w:spacing w:line="560" w:lineRule="exact"/>
        <w:jc w:val="center"/>
        <w:rPr>
          <w:rFonts w:ascii="宋体" w:hAnsi="宋体" w:eastAsia="宋体" w:cs="宋体"/>
          <w:sz w:val="44"/>
        </w:rPr>
      </w:pPr>
      <w:r>
        <w:rPr>
          <w:rFonts w:hint="eastAsia" w:ascii="宋体" w:hAnsi="宋体" w:eastAsia="宋体" w:cs="宋体"/>
          <w:sz w:val="44"/>
        </w:rPr>
        <w:t xml:space="preserve"> </w:t>
      </w:r>
    </w:p>
    <w:p>
      <w:pPr>
        <w:spacing w:line="560" w:lineRule="exact"/>
        <w:jc w:val="center"/>
        <w:rPr>
          <w:rFonts w:ascii="方正小标宋_GBK" w:hAnsi="方正小标宋_GBK" w:eastAsia="方正小标宋_GBK" w:cs="方正小标宋_GBK"/>
          <w:sz w:val="44"/>
        </w:rPr>
      </w:pPr>
      <w:r>
        <w:rPr>
          <w:rFonts w:ascii="宋体" w:hAnsi="宋体" w:eastAsia="宋体" w:cs="宋体"/>
          <w:sz w:val="44"/>
        </w:rPr>
        <w:t>第三部分</w:t>
      </w:r>
    </w:p>
    <w:p>
      <w:pPr>
        <w:numPr>
          <w:ilvl w:val="0"/>
          <w:numId w:val="3"/>
        </w:numPr>
        <w:spacing w:line="560" w:lineRule="exact"/>
        <w:jc w:val="center"/>
        <w:rPr>
          <w:rFonts w:ascii="宋体" w:hAnsi="宋体" w:eastAsia="宋体" w:cs="宋体"/>
          <w:sz w:val="44"/>
        </w:rPr>
      </w:pPr>
      <w:r>
        <w:rPr>
          <w:rFonts w:hint="eastAsia" w:ascii="宋体" w:hAnsi="宋体" w:eastAsia="宋体" w:cs="宋体"/>
          <w:sz w:val="44"/>
        </w:rPr>
        <w:t>益阳市市政工程服务中心</w:t>
      </w:r>
      <w:r>
        <w:rPr>
          <w:rFonts w:ascii="宋体" w:hAnsi="宋体" w:eastAsia="宋体" w:cs="宋体"/>
          <w:sz w:val="44"/>
        </w:rPr>
        <w:t>201</w:t>
      </w:r>
      <w:r>
        <w:rPr>
          <w:rFonts w:hint="eastAsia" w:ascii="宋体" w:hAnsi="宋体" w:eastAsia="宋体" w:cs="宋体"/>
          <w:sz w:val="44"/>
        </w:rPr>
        <w:t>9</w:t>
      </w:r>
      <w:r>
        <w:rPr>
          <w:rFonts w:ascii="宋体" w:hAnsi="宋体" w:eastAsia="宋体" w:cs="宋体"/>
          <w:sz w:val="44"/>
        </w:rPr>
        <w:t>年度部门决算情况说明</w:t>
      </w:r>
    </w:p>
    <w:p>
      <w:pPr>
        <w:spacing w:line="560" w:lineRule="exact"/>
        <w:ind w:firstLine="640"/>
        <w:jc w:val="left"/>
        <w:rPr>
          <w:rFonts w:ascii="黑体" w:hAnsi="黑体" w:eastAsia="黑体" w:cs="黑体"/>
          <w:sz w:val="32"/>
        </w:rPr>
      </w:pPr>
    </w:p>
    <w:p>
      <w:pPr>
        <w:spacing w:line="560" w:lineRule="exact"/>
        <w:ind w:firstLine="640"/>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益阳市市政工程服务中心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年度收入支出决算总体情况说明</w:t>
      </w:r>
    </w:p>
    <w:p>
      <w:pPr>
        <w:spacing w:line="560" w:lineRule="exact"/>
        <w:ind w:firstLine="640"/>
        <w:rPr>
          <w:rFonts w:ascii="楷体_GB2312" w:hAnsi="楷体_GB2312" w:eastAsia="楷体_GB2312" w:cs="楷体_GB2312"/>
          <w:sz w:val="32"/>
        </w:rPr>
      </w:pPr>
      <w:r>
        <w:rPr>
          <w:rFonts w:hint="eastAsia" w:ascii="楷体_GB2312" w:hAnsi="楷体_GB2312" w:eastAsia="楷体_GB2312" w:cs="楷体_GB2312"/>
          <w:sz w:val="32"/>
        </w:rPr>
        <w:t>益阳市市政工程服务中心2019年度收入总计</w:t>
      </w:r>
      <w:r>
        <w:rPr>
          <w:rFonts w:hint="eastAsia" w:ascii="仿宋_GB2312" w:hAnsi="仿宋" w:eastAsia="仿宋_GB2312"/>
          <w:sz w:val="32"/>
          <w:szCs w:val="32"/>
        </w:rPr>
        <w:t>2135.38</w:t>
      </w:r>
      <w:r>
        <w:rPr>
          <w:rFonts w:hint="eastAsia" w:ascii="楷体_GB2312" w:hAnsi="楷体_GB2312" w:eastAsia="楷体_GB2312" w:cs="楷体_GB2312"/>
          <w:sz w:val="32"/>
        </w:rPr>
        <w:t>万元；支出总计</w:t>
      </w:r>
      <w:r>
        <w:rPr>
          <w:rFonts w:hint="eastAsia" w:ascii="仿宋_GB2312" w:hAnsi="仿宋" w:eastAsia="仿宋_GB2312"/>
          <w:sz w:val="32"/>
          <w:szCs w:val="32"/>
        </w:rPr>
        <w:t>2135.38</w:t>
      </w:r>
      <w:r>
        <w:rPr>
          <w:rFonts w:hint="eastAsia" w:ascii="楷体_GB2312" w:hAnsi="楷体_GB2312" w:eastAsia="楷体_GB2312" w:cs="楷体_GB2312"/>
          <w:sz w:val="32"/>
        </w:rPr>
        <w:t>万元。收支主要用于中心人员和机构运行经费及下级市政工程公司人员和机构运行经费、项目支出经费。</w:t>
      </w:r>
    </w:p>
    <w:p>
      <w:pPr>
        <w:spacing w:line="560" w:lineRule="exact"/>
        <w:ind w:firstLine="640"/>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rPr>
        <w:t>益阳市市政工程服务中心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年度收入</w:t>
      </w:r>
      <w:r>
        <w:rPr>
          <w:rFonts w:hint="eastAsia" w:ascii="黑体" w:hAnsi="黑体" w:eastAsia="黑体" w:cs="黑体"/>
          <w:sz w:val="32"/>
        </w:rPr>
        <w:t>决算</w:t>
      </w:r>
      <w:r>
        <w:rPr>
          <w:rFonts w:ascii="黑体" w:hAnsi="黑体" w:eastAsia="黑体" w:cs="黑体"/>
          <w:sz w:val="32"/>
        </w:rPr>
        <w:t>情况说明</w:t>
      </w:r>
    </w:p>
    <w:p>
      <w:pPr>
        <w:spacing w:line="560" w:lineRule="exact"/>
        <w:ind w:firstLine="640"/>
        <w:rPr>
          <w:rFonts w:ascii="楷体_GB2312" w:hAnsi="楷体_GB2312" w:eastAsia="楷体_GB2312" w:cs="楷体_GB2312"/>
          <w:sz w:val="32"/>
        </w:rPr>
      </w:pPr>
      <w:r>
        <w:rPr>
          <w:rFonts w:hint="eastAsia" w:ascii="楷体_GB2312" w:hAnsi="楷体_GB2312" w:eastAsia="楷体_GB2312" w:cs="楷体_GB2312"/>
          <w:sz w:val="32"/>
        </w:rPr>
        <w:t>2019年度收入合计</w:t>
      </w:r>
      <w:r>
        <w:rPr>
          <w:rFonts w:hint="eastAsia" w:ascii="仿宋_GB2312" w:hAnsi="仿宋" w:eastAsia="仿宋_GB2312"/>
          <w:sz w:val="32"/>
          <w:szCs w:val="32"/>
        </w:rPr>
        <w:t>2135.38</w:t>
      </w:r>
      <w:r>
        <w:rPr>
          <w:rFonts w:hint="eastAsia" w:ascii="楷体_GB2312" w:hAnsi="楷体_GB2312" w:eastAsia="楷体_GB2312" w:cs="楷体_GB2312"/>
          <w:sz w:val="32"/>
        </w:rPr>
        <w:t>万元，其中：财政拨款收入</w:t>
      </w:r>
      <w:r>
        <w:rPr>
          <w:rFonts w:hint="eastAsia" w:ascii="仿宋_GB2312" w:hAnsi="仿宋" w:eastAsia="仿宋_GB2312"/>
          <w:sz w:val="32"/>
          <w:szCs w:val="32"/>
        </w:rPr>
        <w:t>2135.38</w:t>
      </w:r>
      <w:r>
        <w:rPr>
          <w:rFonts w:hint="eastAsia" w:ascii="楷体_GB2312" w:hAnsi="楷体_GB2312" w:eastAsia="楷体_GB2312" w:cs="楷体_GB2312"/>
          <w:sz w:val="32"/>
        </w:rPr>
        <w:t>万元，占 100%；其他收入0 万元，占0%。</w:t>
      </w:r>
    </w:p>
    <w:p>
      <w:pPr>
        <w:spacing w:line="560" w:lineRule="exact"/>
        <w:ind w:firstLine="640"/>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益阳市市政工程服务中心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snapToGrid w:val="0"/>
        <w:spacing w:line="520" w:lineRule="exact"/>
        <w:ind w:firstLine="640" w:firstLineChars="200"/>
        <w:rPr>
          <w:rFonts w:ascii="仿宋_GB2312" w:hAnsi="仿宋" w:eastAsia="仿宋_GB2312"/>
          <w:sz w:val="32"/>
          <w:szCs w:val="32"/>
        </w:rPr>
      </w:pPr>
      <w:r>
        <w:rPr>
          <w:rFonts w:hint="eastAsia" w:ascii="楷体_GB2312" w:hAnsi="楷体_GB2312" w:eastAsia="楷体_GB2312" w:cs="楷体_GB2312"/>
          <w:sz w:val="32"/>
        </w:rPr>
        <w:t>2019年度支出合计</w:t>
      </w:r>
      <w:r>
        <w:rPr>
          <w:rFonts w:hint="eastAsia" w:ascii="仿宋_GB2312" w:hAnsi="仿宋" w:eastAsia="仿宋_GB2312"/>
          <w:sz w:val="32"/>
          <w:szCs w:val="32"/>
        </w:rPr>
        <w:t>2135.38</w:t>
      </w:r>
      <w:r>
        <w:rPr>
          <w:rFonts w:hint="eastAsia" w:ascii="楷体_GB2312" w:hAnsi="楷体_GB2312" w:eastAsia="楷体_GB2312" w:cs="楷体_GB2312"/>
          <w:sz w:val="32"/>
        </w:rPr>
        <w:t>万元，其中：</w:t>
      </w:r>
      <w:r>
        <w:rPr>
          <w:rFonts w:hint="eastAsia" w:ascii="仿宋_GB2312" w:hAnsi="仿宋" w:eastAsia="仿宋_GB2312"/>
          <w:sz w:val="32"/>
          <w:szCs w:val="32"/>
        </w:rPr>
        <w:t>社会保障和就业支出占总支出的0.37%、卫生健康支出占总支出的0.1%、城乡社区支出占总支出的86.44%、农林水支出占总支出的12.88%、住房保障支出占总支出的0.21%</w:t>
      </w:r>
      <w:r>
        <w:rPr>
          <w:rFonts w:hint="eastAsia" w:ascii="仿宋" w:hAnsi="仿宋" w:eastAsia="仿宋" w:cs="Arial"/>
          <w:kern w:val="0"/>
          <w:sz w:val="32"/>
          <w:szCs w:val="32"/>
        </w:rPr>
        <w:t>。</w:t>
      </w:r>
    </w:p>
    <w:p>
      <w:pPr>
        <w:spacing w:line="560" w:lineRule="exact"/>
        <w:ind w:firstLine="640"/>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rPr>
        <w:t>益阳市市政工程服务中心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年度财政拨款收入支出决算总体情况说明</w:t>
      </w:r>
    </w:p>
    <w:p>
      <w:pPr>
        <w:spacing w:line="560" w:lineRule="exact"/>
        <w:ind w:firstLine="640"/>
        <w:rPr>
          <w:rFonts w:ascii="楷体_GB2312" w:hAnsi="楷体_GB2312" w:eastAsia="楷体_GB2312" w:cs="楷体_GB2312"/>
          <w:sz w:val="32"/>
        </w:rPr>
      </w:pPr>
      <w:r>
        <w:rPr>
          <w:rFonts w:hint="eastAsia" w:ascii="楷体_GB2312" w:hAnsi="楷体_GB2312" w:eastAsia="楷体_GB2312" w:cs="楷体_GB2312"/>
          <w:sz w:val="32"/>
        </w:rPr>
        <w:t xml:space="preserve"> 2019年度财政拨款收入总计</w:t>
      </w:r>
      <w:r>
        <w:rPr>
          <w:rFonts w:hint="eastAsia" w:ascii="仿宋_GB2312" w:hAnsi="仿宋" w:eastAsia="仿宋_GB2312"/>
          <w:sz w:val="32"/>
          <w:szCs w:val="32"/>
        </w:rPr>
        <w:t>2135.38</w:t>
      </w:r>
      <w:r>
        <w:rPr>
          <w:rFonts w:hint="eastAsia" w:ascii="楷体_GB2312" w:hAnsi="楷体_GB2312" w:eastAsia="楷体_GB2312" w:cs="楷体_GB2312"/>
          <w:sz w:val="32"/>
        </w:rPr>
        <w:t>万元；财政拨款支出总计</w:t>
      </w:r>
      <w:r>
        <w:rPr>
          <w:rFonts w:hint="eastAsia" w:ascii="仿宋_GB2312" w:hAnsi="仿宋" w:eastAsia="仿宋_GB2312"/>
          <w:sz w:val="32"/>
          <w:szCs w:val="32"/>
        </w:rPr>
        <w:t>2135.38</w:t>
      </w:r>
      <w:r>
        <w:rPr>
          <w:rFonts w:hint="eastAsia" w:ascii="楷体_GB2312" w:hAnsi="楷体_GB2312" w:eastAsia="楷体_GB2312" w:cs="楷体_GB2312"/>
          <w:sz w:val="32"/>
        </w:rPr>
        <w:t>万元。主要用于：一是服务中心人员和机构运行经费；二是下级市政工程公司人员和机构运行经费、项目支出经费。</w:t>
      </w:r>
    </w:p>
    <w:p>
      <w:pPr>
        <w:spacing w:line="560" w:lineRule="exact"/>
        <w:ind w:firstLine="640"/>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益阳市市政工程服务中心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年度一般公共预算财政拨款收入支出决算情况说明</w:t>
      </w:r>
    </w:p>
    <w:p>
      <w:pPr>
        <w:spacing w:line="560" w:lineRule="exact"/>
        <w:ind w:firstLine="320"/>
        <w:rPr>
          <w:rFonts w:ascii="楷体" w:hAnsi="楷体" w:eastAsia="楷体" w:cs="楷体"/>
          <w:sz w:val="32"/>
        </w:rPr>
      </w:pPr>
      <w:r>
        <w:rPr>
          <w:rFonts w:ascii="楷体" w:hAnsi="楷体" w:eastAsia="楷体" w:cs="楷体"/>
          <w:sz w:val="32"/>
        </w:rPr>
        <w:t>（一）一般公共预算财政拨款收入支出决算总体情况。</w:t>
      </w:r>
    </w:p>
    <w:p>
      <w:pPr>
        <w:spacing w:line="560" w:lineRule="exact"/>
        <w:ind w:firstLine="640"/>
        <w:rPr>
          <w:rFonts w:ascii="楷体_GB2312" w:hAnsi="楷体_GB2312" w:eastAsia="楷体_GB2312" w:cs="楷体_GB2312"/>
          <w:sz w:val="32"/>
        </w:rPr>
      </w:pPr>
      <w:r>
        <w:rPr>
          <w:rFonts w:hint="eastAsia" w:ascii="楷体_GB2312" w:hAnsi="楷体_GB2312" w:eastAsia="楷体_GB2312" w:cs="楷体_GB2312"/>
          <w:sz w:val="32"/>
        </w:rPr>
        <w:t>2019年度一般公共预算财政拨款收入总计1128.38万元；一般公共预算财政拨款支出总计1128.38万元。主要用于：一是服务中心人员和机构运行经费支出；二是下级市政工程公司人员和机构运行经费支出、项目支出经费。</w:t>
      </w:r>
    </w:p>
    <w:p>
      <w:pPr>
        <w:spacing w:line="560" w:lineRule="exact"/>
        <w:ind w:firstLine="320"/>
        <w:rPr>
          <w:rFonts w:ascii="楷体" w:hAnsi="楷体" w:eastAsia="楷体" w:cs="楷体"/>
          <w:sz w:val="32"/>
        </w:rPr>
      </w:pPr>
      <w:r>
        <w:rPr>
          <w:rFonts w:ascii="楷体" w:hAnsi="楷体" w:eastAsia="楷体" w:cs="楷体"/>
          <w:sz w:val="32"/>
        </w:rPr>
        <w:t>（二）一般公共预算财政拨款支出决算构成情况。</w:t>
      </w:r>
    </w:p>
    <w:p>
      <w:pPr>
        <w:spacing w:line="560" w:lineRule="exact"/>
        <w:ind w:firstLine="640" w:firstLineChars="200"/>
        <w:rPr>
          <w:rFonts w:ascii="楷体_GB2312" w:hAnsi="楷体_GB2312" w:eastAsia="楷体_GB2312" w:cs="楷体_GB2312"/>
          <w:sz w:val="32"/>
        </w:rPr>
      </w:pPr>
      <w:r>
        <w:rPr>
          <w:rFonts w:hint="eastAsia" w:ascii="仿宋_GB2312" w:hAnsi="仿宋" w:eastAsia="仿宋_GB2312"/>
          <w:sz w:val="32"/>
          <w:szCs w:val="32"/>
        </w:rPr>
        <w:t>城乡社区支出838.77</w:t>
      </w:r>
      <w:r>
        <w:rPr>
          <w:rFonts w:hint="eastAsia" w:ascii="楷体_GB2312" w:hAnsi="楷体_GB2312" w:eastAsia="楷体_GB2312" w:cs="楷体_GB2312"/>
          <w:sz w:val="32"/>
        </w:rPr>
        <w:t>万元，占74.33%；</w:t>
      </w:r>
      <w:r>
        <w:rPr>
          <w:rFonts w:hint="eastAsia" w:ascii="仿宋_GB2312" w:hAnsi="仿宋" w:eastAsia="仿宋_GB2312"/>
          <w:sz w:val="32"/>
          <w:szCs w:val="32"/>
        </w:rPr>
        <w:t>农林水支出占总支出275</w:t>
      </w:r>
      <w:r>
        <w:rPr>
          <w:rFonts w:hint="eastAsia" w:ascii="楷体_GB2312" w:hAnsi="楷体_GB2312" w:eastAsia="楷体_GB2312" w:cs="楷体_GB2312"/>
          <w:sz w:val="32"/>
        </w:rPr>
        <w:t>万元，占24.37%；社会保障和就业支出7.82万元，占0.69%；卫生健康支出2.26万元，占0.2%；住房保障支出4.53万元，占0.4%。</w:t>
      </w:r>
    </w:p>
    <w:p>
      <w:pPr>
        <w:spacing w:line="560" w:lineRule="exact"/>
        <w:ind w:firstLine="320"/>
        <w:rPr>
          <w:rFonts w:ascii="楷体" w:hAnsi="楷体" w:eastAsia="楷体" w:cs="楷体"/>
          <w:sz w:val="32"/>
        </w:rPr>
      </w:pPr>
      <w:r>
        <w:rPr>
          <w:rFonts w:ascii="楷体" w:hAnsi="楷体" w:eastAsia="楷体" w:cs="楷体"/>
          <w:sz w:val="32"/>
        </w:rPr>
        <w:t>（三）一般公共预算财政拨款支出决算具体情况。</w:t>
      </w:r>
    </w:p>
    <w:p>
      <w:pPr>
        <w:spacing w:line="560" w:lineRule="exact"/>
        <w:ind w:firstLine="640"/>
        <w:rPr>
          <w:rFonts w:ascii="楷体_GB2312" w:hAnsi="楷体_GB2312" w:eastAsia="楷体_GB2312" w:cs="楷体_GB2312"/>
          <w:sz w:val="32"/>
        </w:rPr>
      </w:pPr>
      <w:r>
        <w:rPr>
          <w:rFonts w:hint="eastAsia" w:ascii="楷体_GB2312" w:hAnsi="楷体_GB2312" w:eastAsia="楷体_GB2312" w:cs="楷体_GB2312"/>
          <w:sz w:val="32"/>
        </w:rPr>
        <w:t>1.</w:t>
      </w:r>
      <w:r>
        <w:rPr>
          <w:rFonts w:hint="eastAsia" w:ascii="仿宋_GB2312" w:hAnsi="仿宋" w:eastAsia="仿宋_GB2312"/>
          <w:sz w:val="32"/>
          <w:szCs w:val="32"/>
        </w:rPr>
        <w:t>城乡社区</w:t>
      </w:r>
      <w:r>
        <w:rPr>
          <w:rFonts w:hint="eastAsia" w:ascii="楷体_GB2312" w:hAnsi="楷体_GB2312" w:eastAsia="楷体_GB2312" w:cs="楷体_GB2312"/>
          <w:sz w:val="32"/>
        </w:rPr>
        <w:t>支出财政拨款支出838.77 万元，主要用于下级市政工程公司的市区内公共设备设施的维护与维修材料费、工资、其他一般公共服务支出。</w:t>
      </w:r>
    </w:p>
    <w:p>
      <w:pPr>
        <w:spacing w:line="560" w:lineRule="exact"/>
        <w:ind w:firstLine="640"/>
        <w:rPr>
          <w:rFonts w:ascii="楷体_GB2312" w:hAnsi="楷体_GB2312" w:eastAsia="楷体_GB2312" w:cs="楷体_GB2312"/>
          <w:sz w:val="32"/>
        </w:rPr>
      </w:pPr>
      <w:r>
        <w:rPr>
          <w:rFonts w:hint="eastAsia" w:ascii="楷体_GB2312" w:hAnsi="楷体_GB2312" w:eastAsia="楷体_GB2312" w:cs="楷体_GB2312"/>
          <w:sz w:val="32"/>
        </w:rPr>
        <w:t>2.</w:t>
      </w:r>
      <w:r>
        <w:rPr>
          <w:rFonts w:hint="eastAsia" w:ascii="仿宋_GB2312" w:hAnsi="仿宋" w:eastAsia="仿宋_GB2312"/>
          <w:sz w:val="32"/>
          <w:szCs w:val="32"/>
        </w:rPr>
        <w:t>农林水</w:t>
      </w:r>
      <w:r>
        <w:rPr>
          <w:rFonts w:hint="eastAsia" w:ascii="楷体_GB2312" w:hAnsi="楷体_GB2312" w:eastAsia="楷体_GB2312" w:cs="楷体_GB2312"/>
          <w:sz w:val="32"/>
        </w:rPr>
        <w:t>支出财政拨款支出275万元，主要用于下级市政工程公司的一般行政管理事务、其他组织事务支出、其他一般公共服务支出。</w:t>
      </w:r>
    </w:p>
    <w:p>
      <w:pPr>
        <w:spacing w:line="560" w:lineRule="exact"/>
        <w:ind w:firstLine="640"/>
        <w:rPr>
          <w:rFonts w:ascii="楷体_GB2312" w:hAnsi="楷体_GB2312" w:eastAsia="楷体_GB2312" w:cs="楷体_GB2312"/>
          <w:sz w:val="32"/>
        </w:rPr>
      </w:pPr>
      <w:r>
        <w:rPr>
          <w:rFonts w:hint="eastAsia" w:ascii="楷体_GB2312" w:hAnsi="楷体_GB2312" w:eastAsia="楷体_GB2312" w:cs="楷体_GB2312"/>
          <w:sz w:val="32"/>
        </w:rPr>
        <w:t>3.社会保障和就业支出财政拨款支出7.82万元，主要用于中心人员养老支出。</w:t>
      </w:r>
    </w:p>
    <w:p>
      <w:pPr>
        <w:spacing w:line="560" w:lineRule="exact"/>
        <w:ind w:firstLine="640"/>
        <w:rPr>
          <w:rFonts w:ascii="楷体_GB2312" w:hAnsi="楷体_GB2312" w:eastAsia="楷体_GB2312" w:cs="楷体_GB2312"/>
          <w:sz w:val="32"/>
        </w:rPr>
      </w:pPr>
      <w:r>
        <w:rPr>
          <w:rFonts w:hint="eastAsia" w:ascii="楷体_GB2312" w:hAnsi="楷体_GB2312" w:eastAsia="楷体_GB2312" w:cs="楷体_GB2312"/>
          <w:sz w:val="32"/>
        </w:rPr>
        <w:t xml:space="preserve">4.卫生健康支出财政拨款支出2.26万元，主要用于中心人员医疗保障开支。 </w:t>
      </w:r>
    </w:p>
    <w:p>
      <w:pPr>
        <w:spacing w:line="560" w:lineRule="exact"/>
        <w:ind w:firstLine="640"/>
        <w:rPr>
          <w:rFonts w:ascii="楷体_GB2312" w:hAnsi="楷体_GB2312" w:eastAsia="楷体_GB2312" w:cs="楷体_GB2312"/>
          <w:sz w:val="32"/>
        </w:rPr>
      </w:pPr>
      <w:r>
        <w:rPr>
          <w:rFonts w:hint="eastAsia" w:ascii="楷体_GB2312" w:hAnsi="楷体_GB2312" w:eastAsia="楷体_GB2312" w:cs="楷体_GB2312"/>
          <w:sz w:val="32"/>
        </w:rPr>
        <w:t>5.住房保障财政拨款支出4.53万元，主要用于中心人员住房公积金支出。</w:t>
      </w:r>
    </w:p>
    <w:p>
      <w:pPr>
        <w:spacing w:line="560" w:lineRule="exact"/>
        <w:ind w:firstLine="640"/>
        <w:rPr>
          <w:rFonts w:ascii="楷体_GB2312" w:hAnsi="楷体_GB2312" w:eastAsia="楷体_GB2312" w:cs="楷体_GB2312"/>
          <w:sz w:val="32"/>
        </w:rPr>
      </w:pPr>
      <w:r>
        <w:rPr>
          <w:rFonts w:hint="eastAsia" w:ascii="楷体_GB2312" w:hAnsi="楷体_GB2312" w:eastAsia="楷体_GB2312" w:cs="楷体_GB2312"/>
          <w:sz w:val="32"/>
        </w:rPr>
        <w:t>6.年末结转和结余0.09万元。</w:t>
      </w:r>
    </w:p>
    <w:p>
      <w:pPr>
        <w:spacing w:line="560" w:lineRule="exact"/>
        <w:ind w:firstLine="640" w:firstLineChars="200"/>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益阳市市政工程服务中心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年度一般公共预算财政拨款基本支出决算情况说明</w:t>
      </w:r>
    </w:p>
    <w:p>
      <w:pPr>
        <w:spacing w:line="560" w:lineRule="exact"/>
        <w:ind w:firstLine="640"/>
        <w:rPr>
          <w:rFonts w:ascii="楷体_GB2312" w:hAnsi="楷体_GB2312" w:eastAsia="楷体_GB2312" w:cs="楷体_GB2312"/>
          <w:sz w:val="32"/>
        </w:rPr>
      </w:pPr>
      <w:r>
        <w:rPr>
          <w:rFonts w:hint="eastAsia" w:ascii="楷体_GB2312" w:hAnsi="楷体_GB2312" w:eastAsia="楷体_GB2312" w:cs="楷体_GB2312"/>
          <w:sz w:val="32"/>
        </w:rPr>
        <w:t>2019年度一般公共预算财政拨款基本支出1128.38万元，其中</w:t>
      </w:r>
      <w:r>
        <w:rPr>
          <w:rFonts w:hint="eastAsia" w:ascii="仿宋_GB2312" w:hAnsi="仿宋" w:eastAsia="仿宋_GB2312"/>
          <w:sz w:val="32"/>
          <w:szCs w:val="32"/>
        </w:rPr>
        <w:t>本单位支出为60.48万元（人员经费58.58万元、日常公用经费5.5万元）;对附属单位市政工程公司支出其他支出为1067.9万元.</w:t>
      </w:r>
      <w:r>
        <w:rPr>
          <w:rFonts w:hint="eastAsia" w:ascii="楷体_GB2312" w:hAnsi="楷体_GB2312" w:eastAsia="楷体_GB2312" w:cs="楷体_GB2312"/>
          <w:sz w:val="32"/>
        </w:rPr>
        <w:t>主要包括：基本工资、津贴补贴、奖金、伙食补助费、绩效工资、机关事业单位基本养老保险、职工基本医疗保险、公务员医疗补助、其他社会保障缴费、住房公积金，医疗费、其他工资福利支出和对个人和家庭的补助支出；中心公用经费支出5.5万元，主要包括：办公费、水电费、邮电费、差旅费等商品和服务支出。</w:t>
      </w:r>
    </w:p>
    <w:p>
      <w:pPr>
        <w:spacing w:line="560" w:lineRule="exact"/>
        <w:ind w:firstLine="640"/>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益阳市市政工程服务中心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spacing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益阳市市政工程服务中心2019年度有政府性基金收入1007</w:t>
      </w:r>
      <w:r>
        <w:rPr>
          <w:rFonts w:hint="eastAsia" w:ascii="仿宋_GB2312" w:hAnsi="仿宋" w:eastAsia="仿宋_GB2312"/>
          <w:sz w:val="32"/>
          <w:szCs w:val="32"/>
        </w:rPr>
        <w:t>万元</w:t>
      </w:r>
      <w:r>
        <w:rPr>
          <w:rFonts w:hint="eastAsia" w:ascii="楷体_GB2312" w:hAnsi="楷体_GB2312" w:eastAsia="楷体_GB2312" w:cs="楷体_GB2312"/>
          <w:sz w:val="32"/>
          <w:szCs w:val="32"/>
        </w:rPr>
        <w:t>，有政府性基金安排的支出1007</w:t>
      </w:r>
      <w:r>
        <w:rPr>
          <w:rFonts w:hint="eastAsia" w:ascii="仿宋_GB2312" w:hAnsi="仿宋" w:eastAsia="仿宋_GB2312"/>
          <w:sz w:val="32"/>
          <w:szCs w:val="32"/>
        </w:rPr>
        <w:t>万元,附属单位市政工程公司支出其他支出为1007万元.</w:t>
      </w:r>
      <w:r>
        <w:rPr>
          <w:rFonts w:hint="eastAsia" w:ascii="楷体_GB2312" w:hAnsi="楷体_GB2312" w:eastAsia="楷体_GB2312" w:cs="楷体_GB2312"/>
          <w:sz w:val="32"/>
        </w:rPr>
        <w:t>主要包括：市区内公共设备设施的维护与维修的材料费及工资</w:t>
      </w:r>
      <w:r>
        <w:rPr>
          <w:rFonts w:hint="eastAsia" w:ascii="楷体_GB2312" w:hAnsi="楷体_GB2312" w:eastAsia="楷体_GB2312" w:cs="楷体_GB2312"/>
          <w:sz w:val="32"/>
          <w:szCs w:val="32"/>
        </w:rPr>
        <w:t>。</w:t>
      </w:r>
    </w:p>
    <w:p>
      <w:pPr>
        <w:spacing w:line="560" w:lineRule="exact"/>
        <w:ind w:firstLine="640"/>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益阳市市政工程服务中心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年度一般公共预算财政拨款“三公”经费支出决算情况说明</w:t>
      </w:r>
    </w:p>
    <w:p>
      <w:pPr>
        <w:spacing w:line="560" w:lineRule="exact"/>
        <w:ind w:firstLine="640"/>
        <w:rPr>
          <w:rFonts w:ascii="楷体" w:hAnsi="楷体" w:eastAsia="楷体" w:cs="楷体"/>
          <w:sz w:val="32"/>
        </w:rPr>
      </w:pPr>
      <w:r>
        <w:rPr>
          <w:rFonts w:ascii="楷体" w:hAnsi="楷体" w:eastAsia="楷体" w:cs="楷体"/>
          <w:sz w:val="32"/>
        </w:rPr>
        <w:t>“三公”经费财政拨款支出决算总体情况说明。</w:t>
      </w:r>
    </w:p>
    <w:p>
      <w:pPr>
        <w:spacing w:line="560" w:lineRule="exact"/>
        <w:ind w:firstLine="640"/>
        <w:rPr>
          <w:rFonts w:hint="eastAsia" w:ascii="楷体_GB2312" w:hAnsi="楷体_GB2312" w:eastAsia="楷体_GB2312" w:cs="楷体_GB2312"/>
          <w:sz w:val="32"/>
          <w:lang w:eastAsia="zh-CN"/>
        </w:rPr>
      </w:pPr>
      <w:r>
        <w:rPr>
          <w:rFonts w:hint="eastAsia" w:ascii="楷体_GB2312" w:hAnsi="楷体_GB2312" w:eastAsia="楷体_GB2312" w:cs="楷体_GB2312"/>
          <w:sz w:val="32"/>
        </w:rPr>
        <w:t>2019年度“三公”经费财政拨款支出预算为0万元，支出决算无</w:t>
      </w:r>
      <w:r>
        <w:rPr>
          <w:rFonts w:hint="eastAsia" w:ascii="楷体_GB2312" w:hAnsi="楷体_GB2312" w:eastAsia="楷体_GB2312" w:cs="楷体_GB2312"/>
          <w:sz w:val="32"/>
          <w:lang w:eastAsia="zh-CN"/>
        </w:rPr>
        <w:t>。</w:t>
      </w:r>
    </w:p>
    <w:p>
      <w:pPr>
        <w:spacing w:line="560" w:lineRule="exact"/>
        <w:ind w:firstLine="640"/>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2019年度预算绩效情况说明</w:t>
      </w:r>
    </w:p>
    <w:p>
      <w:pPr>
        <w:spacing w:line="560" w:lineRule="exact"/>
        <w:ind w:firstLine="640"/>
        <w:rPr>
          <w:rFonts w:ascii="楷体_GB2312" w:hAnsi="楷体_GB2312" w:eastAsia="楷体_GB2312" w:cs="楷体_GB2312"/>
          <w:sz w:val="32"/>
        </w:rPr>
      </w:pPr>
      <w:r>
        <w:rPr>
          <w:rFonts w:hint="eastAsia" w:ascii="楷体_GB2312" w:hAnsi="楷体_GB2312" w:eastAsia="楷体_GB2312" w:cs="楷体_GB2312"/>
          <w:sz w:val="32"/>
        </w:rPr>
        <w:t>根据年初部门整体支出预算绩效目标，结合全年工作情况，我委2019年度整体支出绩效完成较好。一是资金使用效益高。基本支出经费保障了人员工资、机关运转；二是资金使用社会效益好。专项支出经费保障了发改项目工作顺利开展及上级交办的一系列工作。</w:t>
      </w:r>
    </w:p>
    <w:p>
      <w:pPr>
        <w:spacing w:line="560" w:lineRule="exact"/>
        <w:ind w:firstLine="640"/>
        <w:rPr>
          <w:rFonts w:ascii="楷体_GB2312" w:hAnsi="楷体_GB2312" w:eastAsia="楷体_GB2312" w:cs="楷体_GB2312"/>
          <w:sz w:val="32"/>
        </w:rPr>
      </w:pPr>
      <w:r>
        <w:rPr>
          <w:rFonts w:hint="eastAsia" w:ascii="楷体_GB2312" w:hAnsi="楷体_GB2312" w:eastAsia="楷体_GB2312" w:cs="楷体_GB2312"/>
          <w:sz w:val="32"/>
        </w:rPr>
        <w:t>在今后的工作我委一方面要严格预算编制，做到细化精确，争取一些费用纳入财政预算中；另一方面经费开支要严格按照八项规定执行。</w:t>
      </w:r>
    </w:p>
    <w:p>
      <w:pPr>
        <w:spacing w:line="560" w:lineRule="exact"/>
        <w:ind w:firstLine="640"/>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spacing w:line="560" w:lineRule="exact"/>
        <w:ind w:firstLine="640"/>
        <w:rPr>
          <w:rFonts w:ascii="黑体" w:hAnsi="黑体" w:eastAsia="黑体" w:cs="黑体"/>
          <w:sz w:val="32"/>
        </w:rPr>
      </w:pPr>
      <w:r>
        <w:rPr>
          <w:rFonts w:ascii="楷体" w:hAnsi="楷体" w:eastAsia="楷体" w:cs="楷体"/>
          <w:sz w:val="32"/>
        </w:rPr>
        <w:t>（一）预决算收支情况。</w:t>
      </w:r>
    </w:p>
    <w:p>
      <w:pPr>
        <w:spacing w:line="560" w:lineRule="exact"/>
        <w:ind w:firstLine="640"/>
        <w:rPr>
          <w:rFonts w:ascii="楷体_GB2312" w:hAnsi="楷体_GB2312" w:eastAsia="楷体_GB2312" w:cs="楷体_GB2312"/>
          <w:sz w:val="32"/>
        </w:rPr>
      </w:pPr>
      <w:r>
        <w:rPr>
          <w:rFonts w:hint="eastAsia" w:ascii="楷体_GB2312" w:hAnsi="楷体_GB2312" w:eastAsia="楷体_GB2312" w:cs="楷体_GB2312"/>
          <w:sz w:val="32"/>
        </w:rPr>
        <w:t>2019年我中心年初预算安排收支</w:t>
      </w:r>
      <w:r>
        <w:rPr>
          <w:rFonts w:hint="eastAsia" w:ascii="仿宋_GB2312" w:hAnsi="仿宋" w:eastAsia="仿宋_GB2312"/>
          <w:sz w:val="32"/>
          <w:szCs w:val="32"/>
        </w:rPr>
        <w:t>581.16</w:t>
      </w:r>
      <w:r>
        <w:rPr>
          <w:rFonts w:hint="eastAsia" w:ascii="楷体_GB2312" w:hAnsi="楷体_GB2312" w:eastAsia="楷体_GB2312" w:cs="楷体_GB2312"/>
          <w:sz w:val="32"/>
        </w:rPr>
        <w:t>万元，决算为</w:t>
      </w:r>
      <w:r>
        <w:rPr>
          <w:rFonts w:hint="eastAsia" w:ascii="仿宋_GB2312" w:hAnsi="仿宋" w:eastAsia="仿宋_GB2312"/>
          <w:sz w:val="32"/>
          <w:szCs w:val="32"/>
        </w:rPr>
        <w:t>2135.38</w:t>
      </w:r>
      <w:r>
        <w:rPr>
          <w:rFonts w:hint="eastAsia" w:ascii="楷体_GB2312" w:hAnsi="楷体_GB2312" w:eastAsia="楷体_GB2312" w:cs="楷体_GB2312"/>
          <w:sz w:val="32"/>
        </w:rPr>
        <w:t>万元。主要用于：一是服务中心人员和机构运行经费；二是下级市政工程公司人员和机构运行经费、项目支出经费。</w:t>
      </w:r>
    </w:p>
    <w:p>
      <w:pPr>
        <w:tabs>
          <w:tab w:val="left" w:pos="954"/>
        </w:tabs>
        <w:spacing w:line="560" w:lineRule="exact"/>
        <w:ind w:firstLine="640" w:firstLineChars="200"/>
        <w:rPr>
          <w:rFonts w:ascii="楷体" w:hAnsi="楷体" w:eastAsia="楷体" w:cs="楷体"/>
          <w:sz w:val="32"/>
        </w:rPr>
      </w:pPr>
      <w:r>
        <w:rPr>
          <w:rFonts w:hint="eastAsia" w:ascii="楷体" w:hAnsi="楷体" w:eastAsia="楷体" w:cs="楷体"/>
          <w:sz w:val="32"/>
        </w:rPr>
        <w:t>（二）</w:t>
      </w:r>
      <w:r>
        <w:rPr>
          <w:rFonts w:ascii="楷体" w:hAnsi="楷体" w:eastAsia="楷体" w:cs="楷体"/>
          <w:sz w:val="32"/>
        </w:rPr>
        <w:t>机关运行经费支出情况。</w:t>
      </w:r>
    </w:p>
    <w:p>
      <w:pPr>
        <w:spacing w:line="560" w:lineRule="exact"/>
        <w:ind w:firstLine="640"/>
        <w:rPr>
          <w:rFonts w:ascii="楷体_GB2312" w:hAnsi="楷体_GB2312" w:eastAsia="楷体_GB2312" w:cs="楷体_GB2312"/>
          <w:sz w:val="32"/>
        </w:rPr>
      </w:pPr>
      <w:r>
        <w:rPr>
          <w:rFonts w:hint="eastAsia" w:ascii="楷体_GB2312" w:hAnsi="楷体_GB2312" w:eastAsia="楷体_GB2312" w:cs="楷体_GB2312"/>
          <w:sz w:val="32"/>
        </w:rPr>
        <w:t>2019年度机关运行经费支出5.5万元，主要用于办公费、水电费、邮电费、差旅费等商品和服务</w:t>
      </w:r>
    </w:p>
    <w:p>
      <w:pPr>
        <w:spacing w:line="560" w:lineRule="exact"/>
        <w:ind w:firstLine="640"/>
        <w:rPr>
          <w:rFonts w:ascii="楷体" w:hAnsi="楷体" w:eastAsia="楷体" w:cs="楷体"/>
          <w:sz w:val="32"/>
        </w:rPr>
      </w:pPr>
      <w:r>
        <w:rPr>
          <w:rFonts w:ascii="楷体" w:hAnsi="楷体" w:eastAsia="楷体" w:cs="楷体"/>
          <w:sz w:val="32"/>
        </w:rPr>
        <w:t>（三）政府采购支出情况。</w:t>
      </w:r>
      <w:r>
        <w:rPr>
          <w:rFonts w:hint="eastAsia" w:ascii="楷体" w:hAnsi="楷体" w:eastAsia="楷体" w:cs="楷体"/>
          <w:sz w:val="32"/>
        </w:rPr>
        <w:t>无</w:t>
      </w:r>
    </w:p>
    <w:p>
      <w:pPr>
        <w:spacing w:line="560" w:lineRule="exact"/>
        <w:ind w:firstLine="640"/>
        <w:rPr>
          <w:rFonts w:ascii="楷体" w:hAnsi="楷体" w:eastAsia="楷体" w:cs="楷体"/>
          <w:sz w:val="32"/>
        </w:rPr>
      </w:pPr>
      <w:r>
        <w:rPr>
          <w:rFonts w:ascii="楷体" w:hAnsi="楷体" w:eastAsia="楷体" w:cs="楷体"/>
          <w:sz w:val="32"/>
        </w:rPr>
        <w:t>（四）国有资产占用情况。</w:t>
      </w:r>
    </w:p>
    <w:p>
      <w:pPr>
        <w:spacing w:line="560" w:lineRule="exact"/>
        <w:ind w:firstLine="640"/>
        <w:rPr>
          <w:rFonts w:ascii="楷体_GB2312" w:hAnsi="楷体_GB2312" w:eastAsia="楷体_GB2312" w:cs="楷体_GB2312"/>
          <w:sz w:val="32"/>
        </w:rPr>
      </w:pPr>
      <w:r>
        <w:rPr>
          <w:rFonts w:hint="eastAsia" w:ascii="楷体_GB2312" w:hAnsi="楷体_GB2312" w:eastAsia="楷体_GB2312" w:cs="楷体_GB2312"/>
          <w:sz w:val="32"/>
        </w:rPr>
        <w:t>截至2019年12月31日，中心主要资产在下级单位本部门共有车辆16辆(全在下级单位)，其中，载货汽车7辆、轿车2辆、小型客车5辆，工程作业车辆2辆；单位净值834.32万元的土地房屋、净值66.74万元通用设备0台(套)、净值107.56万元专用设备0台(套)、净值家具0.95万元、净值无形资产1.83万元。</w:t>
      </w:r>
    </w:p>
    <w:p>
      <w:pPr>
        <w:spacing w:line="520" w:lineRule="exact"/>
        <w:jc w:val="center"/>
        <w:rPr>
          <w:rFonts w:ascii="宋体" w:hAnsi="宋体" w:eastAsia="宋体" w:cs="宋体"/>
          <w:sz w:val="44"/>
        </w:rPr>
      </w:pPr>
    </w:p>
    <w:p>
      <w:pPr>
        <w:spacing w:line="520" w:lineRule="exact"/>
        <w:jc w:val="center"/>
        <w:rPr>
          <w:rFonts w:ascii="宋体" w:hAnsi="宋体" w:eastAsia="宋体" w:cs="宋体"/>
          <w:sz w:val="44"/>
        </w:rPr>
      </w:pPr>
    </w:p>
    <w:p>
      <w:pPr>
        <w:spacing w:line="520" w:lineRule="exact"/>
        <w:jc w:val="center"/>
        <w:rPr>
          <w:rFonts w:ascii="宋体" w:hAnsi="宋体" w:eastAsia="宋体" w:cs="宋体"/>
          <w:sz w:val="44"/>
        </w:rPr>
      </w:pPr>
    </w:p>
    <w:p>
      <w:pPr>
        <w:spacing w:line="520" w:lineRule="exact"/>
        <w:jc w:val="center"/>
        <w:rPr>
          <w:rFonts w:ascii="宋体" w:hAnsi="宋体" w:eastAsia="宋体" w:cs="宋体"/>
          <w:sz w:val="44"/>
        </w:rPr>
      </w:pPr>
    </w:p>
    <w:p>
      <w:pPr>
        <w:spacing w:line="520" w:lineRule="exact"/>
        <w:jc w:val="center"/>
        <w:rPr>
          <w:rFonts w:ascii="宋体" w:hAnsi="宋体" w:eastAsia="宋体" w:cs="宋体"/>
          <w:sz w:val="44"/>
        </w:rPr>
      </w:pPr>
    </w:p>
    <w:p>
      <w:pPr>
        <w:spacing w:line="520" w:lineRule="exact"/>
        <w:jc w:val="center"/>
        <w:rPr>
          <w:rFonts w:ascii="宋体" w:hAnsi="宋体" w:eastAsia="宋体" w:cs="宋体"/>
          <w:sz w:val="44"/>
        </w:rPr>
      </w:pPr>
    </w:p>
    <w:p>
      <w:pPr>
        <w:spacing w:line="520" w:lineRule="exact"/>
        <w:jc w:val="center"/>
        <w:rPr>
          <w:rFonts w:ascii="宋体" w:hAnsi="宋体" w:eastAsia="宋体" w:cs="宋体"/>
          <w:sz w:val="44"/>
        </w:rPr>
      </w:pPr>
    </w:p>
    <w:p>
      <w:pPr>
        <w:spacing w:line="520" w:lineRule="exact"/>
        <w:jc w:val="center"/>
        <w:rPr>
          <w:rFonts w:ascii="宋体" w:hAnsi="宋体" w:eastAsia="宋体" w:cs="宋体"/>
          <w:sz w:val="44"/>
        </w:rPr>
      </w:pPr>
    </w:p>
    <w:p>
      <w:pPr>
        <w:spacing w:line="520" w:lineRule="exact"/>
        <w:jc w:val="center"/>
        <w:rPr>
          <w:rFonts w:ascii="宋体" w:hAnsi="宋体" w:eastAsia="宋体" w:cs="宋体"/>
          <w:sz w:val="44"/>
        </w:rPr>
      </w:pPr>
    </w:p>
    <w:p>
      <w:pPr>
        <w:spacing w:line="520" w:lineRule="exact"/>
        <w:jc w:val="center"/>
        <w:rPr>
          <w:rFonts w:ascii="宋体" w:hAnsi="宋体" w:eastAsia="宋体" w:cs="宋体"/>
          <w:sz w:val="44"/>
        </w:rPr>
      </w:pPr>
    </w:p>
    <w:p>
      <w:pPr>
        <w:spacing w:line="520" w:lineRule="exact"/>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spacing w:line="520" w:lineRule="exact"/>
        <w:ind w:firstLine="643"/>
        <w:rPr>
          <w:rFonts w:ascii="仿宋" w:hAnsi="仿宋" w:eastAsia="仿宋" w:cs="仿宋"/>
          <w:b/>
          <w:sz w:val="32"/>
        </w:rPr>
      </w:pPr>
    </w:p>
    <w:p>
      <w:pPr>
        <w:spacing w:line="520" w:lineRule="exact"/>
        <w:ind w:firstLine="643"/>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spacing w:line="520" w:lineRule="exact"/>
        <w:ind w:firstLine="643"/>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spacing w:line="520" w:lineRule="exact"/>
        <w:ind w:firstLine="643"/>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spacing w:line="520" w:lineRule="exact"/>
        <w:ind w:firstLine="643"/>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spacing w:line="520" w:lineRule="exact"/>
        <w:ind w:firstLine="643"/>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20" w:lineRule="exact"/>
        <w:ind w:firstLine="643"/>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spacing w:line="520" w:lineRule="exact"/>
        <w:ind w:firstLine="643"/>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spacing w:line="520" w:lineRule="exact"/>
        <w:ind w:firstLine="643"/>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spacing w:line="520" w:lineRule="exact"/>
        <w:ind w:firstLine="643"/>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spacing w:line="520" w:lineRule="exact"/>
        <w:rPr>
          <w:rFonts w:ascii="仿宋" w:hAnsi="仿宋" w:eastAsia="仿宋" w:cs="仿宋"/>
          <w:sz w:val="32"/>
        </w:rPr>
      </w:pPr>
      <w:r>
        <w:rPr>
          <w:rFonts w:ascii="仿宋" w:hAnsi="仿宋" w:eastAsia="仿宋" w:cs="仿宋"/>
          <w:sz w:val="32"/>
        </w:rPr>
        <w:t xml:space="preserve">作任务而发生的人员支出和公用支出。 </w:t>
      </w:r>
    </w:p>
    <w:p>
      <w:pPr>
        <w:spacing w:line="520" w:lineRule="exact"/>
        <w:ind w:firstLine="643"/>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spacing w:line="520" w:lineRule="exact"/>
        <w:ind w:firstLine="643"/>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spacing w:line="520" w:lineRule="exact"/>
        <w:ind w:firstLine="643"/>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20" w:lineRule="exact"/>
        <w:ind w:firstLine="643"/>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3"/>
        <w:jc w:val="left"/>
        <w:rPr>
          <w:rFonts w:ascii="仿宋" w:hAnsi="仿宋" w:eastAsia="仿宋" w:cs="仿宋"/>
          <w:b/>
          <w:color w:val="FF0000"/>
          <w:sz w:val="32"/>
        </w:rPr>
      </w:pPr>
    </w:p>
    <w:p>
      <w:pPr>
        <w:spacing w:line="560" w:lineRule="exact"/>
        <w:ind w:firstLine="640"/>
        <w:jc w:val="left"/>
        <w:rPr>
          <w:rFonts w:ascii="仿宋" w:hAnsi="仿宋" w:eastAsia="仿宋" w:cs="仿宋"/>
          <w:sz w:val="32"/>
        </w:rPr>
      </w:pPr>
    </w:p>
    <w:sectPr>
      <w:headerReference r:id="rId3" w:type="default"/>
      <w:pgSz w:w="11906" w:h="16838"/>
      <w:pgMar w:top="2007" w:right="1800" w:bottom="1440" w:left="197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5CDD9"/>
    <w:multiLevelType w:val="singleLevel"/>
    <w:tmpl w:val="1805CDD9"/>
    <w:lvl w:ilvl="0" w:tentative="0">
      <w:start w:val="2"/>
      <w:numFmt w:val="chineseCounting"/>
      <w:suff w:val="nothing"/>
      <w:lvlText w:val="%1、"/>
      <w:lvlJc w:val="left"/>
      <w:rPr>
        <w:rFonts w:hint="eastAsia"/>
      </w:rPr>
    </w:lvl>
  </w:abstractNum>
  <w:abstractNum w:abstractNumId="1">
    <w:nsid w:val="7B065054"/>
    <w:multiLevelType w:val="singleLevel"/>
    <w:tmpl w:val="7B065054"/>
    <w:lvl w:ilvl="0" w:tentative="0">
      <w:start w:val="4"/>
      <w:numFmt w:val="chineseCounting"/>
      <w:suff w:val="space"/>
      <w:lvlText w:val="第%1部分"/>
      <w:lvlJc w:val="left"/>
      <w:rPr>
        <w:rFonts w:hint="eastAsia"/>
      </w:rPr>
    </w:lvl>
  </w:abstractNum>
  <w:abstractNum w:abstractNumId="2">
    <w:nsid w:val="7BF07876"/>
    <w:multiLevelType w:val="singleLevel"/>
    <w:tmpl w:val="7BF07876"/>
    <w:lvl w:ilvl="0" w:tentative="0">
      <w:start w:val="2"/>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044F3"/>
    <w:rsid w:val="00030F8F"/>
    <w:rsid w:val="00087158"/>
    <w:rsid w:val="000B3613"/>
    <w:rsid w:val="000B36D6"/>
    <w:rsid w:val="0011267F"/>
    <w:rsid w:val="001352FB"/>
    <w:rsid w:val="00166D50"/>
    <w:rsid w:val="001C75C6"/>
    <w:rsid w:val="002371E7"/>
    <w:rsid w:val="00305DD2"/>
    <w:rsid w:val="00321E98"/>
    <w:rsid w:val="00331984"/>
    <w:rsid w:val="003538EC"/>
    <w:rsid w:val="00361F25"/>
    <w:rsid w:val="003638A2"/>
    <w:rsid w:val="003933B5"/>
    <w:rsid w:val="004002F9"/>
    <w:rsid w:val="00411967"/>
    <w:rsid w:val="00453FD5"/>
    <w:rsid w:val="0046344F"/>
    <w:rsid w:val="00481CD7"/>
    <w:rsid w:val="00506242"/>
    <w:rsid w:val="00582244"/>
    <w:rsid w:val="005A02C7"/>
    <w:rsid w:val="006302B1"/>
    <w:rsid w:val="00637CE7"/>
    <w:rsid w:val="00645189"/>
    <w:rsid w:val="00675C4E"/>
    <w:rsid w:val="00684113"/>
    <w:rsid w:val="006F0B14"/>
    <w:rsid w:val="00700B43"/>
    <w:rsid w:val="00732CB0"/>
    <w:rsid w:val="007424BA"/>
    <w:rsid w:val="007C2D83"/>
    <w:rsid w:val="0088403A"/>
    <w:rsid w:val="00887A13"/>
    <w:rsid w:val="00915A70"/>
    <w:rsid w:val="00947DCF"/>
    <w:rsid w:val="009B4C5A"/>
    <w:rsid w:val="00A47007"/>
    <w:rsid w:val="00A747AA"/>
    <w:rsid w:val="00A92442"/>
    <w:rsid w:val="00AC1D81"/>
    <w:rsid w:val="00B17A85"/>
    <w:rsid w:val="00B17AC6"/>
    <w:rsid w:val="00B27C51"/>
    <w:rsid w:val="00B415DA"/>
    <w:rsid w:val="00B44575"/>
    <w:rsid w:val="00B94EA2"/>
    <w:rsid w:val="00BD0975"/>
    <w:rsid w:val="00CC11C1"/>
    <w:rsid w:val="00D71536"/>
    <w:rsid w:val="00D767AF"/>
    <w:rsid w:val="00DB1EE8"/>
    <w:rsid w:val="00DB5581"/>
    <w:rsid w:val="00DF4D1F"/>
    <w:rsid w:val="00E04970"/>
    <w:rsid w:val="00E11819"/>
    <w:rsid w:val="00E74D95"/>
    <w:rsid w:val="00EA011C"/>
    <w:rsid w:val="00F322AD"/>
    <w:rsid w:val="00F3575E"/>
    <w:rsid w:val="00F35C36"/>
    <w:rsid w:val="00F94200"/>
    <w:rsid w:val="05DD7512"/>
    <w:rsid w:val="10B353CA"/>
    <w:rsid w:val="12D94DBE"/>
    <w:rsid w:val="177F515F"/>
    <w:rsid w:val="1CB34CA2"/>
    <w:rsid w:val="21C9725C"/>
    <w:rsid w:val="29337902"/>
    <w:rsid w:val="2D3E1277"/>
    <w:rsid w:val="35501B7D"/>
    <w:rsid w:val="366F34B2"/>
    <w:rsid w:val="3E701ADA"/>
    <w:rsid w:val="424D6ACA"/>
    <w:rsid w:val="46B26B05"/>
    <w:rsid w:val="4B3618C0"/>
    <w:rsid w:val="4E38736B"/>
    <w:rsid w:val="5E052052"/>
    <w:rsid w:val="5E89721E"/>
    <w:rsid w:val="654220A1"/>
    <w:rsid w:val="6BD37674"/>
    <w:rsid w:val="6DEC776F"/>
    <w:rsid w:val="71FA6A59"/>
    <w:rsid w:val="77B32518"/>
    <w:rsid w:val="78CD42F6"/>
    <w:rsid w:val="7AF9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615</Words>
  <Characters>3511</Characters>
  <Lines>29</Lines>
  <Paragraphs>8</Paragraphs>
  <TotalTime>107</TotalTime>
  <ScaleCrop>false</ScaleCrop>
  <LinksUpToDate>false</LinksUpToDate>
  <CharactersWithSpaces>4118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cp:lastPrinted>2020-09-03T02:01:00Z</cp:lastPrinted>
  <dcterms:modified xsi:type="dcterms:W3CDTF">2020-12-31T02:32:54Z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