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益阳市委老干部局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益阳市委老干部局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ind w:firstLine="640" w:firstLineChars="20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主要职能</w:t>
      </w:r>
    </w:p>
    <w:p>
      <w:pPr>
        <w:pStyle w:val="5"/>
        <w:ind w:firstLine="640" w:firstLineChars="200"/>
        <w:rPr>
          <w:rFonts w:ascii="仿宋" w:hAnsi="仿宋" w:eastAsia="仿宋" w:cs="仿宋"/>
          <w:sz w:val="32"/>
        </w:rPr>
      </w:pPr>
      <w:r>
        <w:rPr>
          <w:rFonts w:hint="eastAsia" w:ascii="仿宋" w:hAnsi="仿宋" w:eastAsia="仿宋" w:cs="仿宋"/>
          <w:sz w:val="32"/>
        </w:rPr>
        <w:t>(一)贯彻执行党中央、国务院，省委、省人民政府和市委、市人民政府关于老干部工作的方针、政策及有关规定，认真做好离休干部的安置管理，并就落实情况进行检查督促。</w:t>
      </w:r>
    </w:p>
    <w:p>
      <w:pPr>
        <w:pStyle w:val="5"/>
        <w:ind w:firstLine="640" w:firstLineChars="200"/>
        <w:rPr>
          <w:rFonts w:ascii="仿宋" w:hAnsi="仿宋" w:eastAsia="仿宋" w:cs="仿宋"/>
          <w:sz w:val="32"/>
        </w:rPr>
      </w:pPr>
      <w:r>
        <w:rPr>
          <w:rFonts w:hint="eastAsia" w:ascii="仿宋" w:hAnsi="仿宋" w:eastAsia="仿宋" w:cs="仿宋"/>
          <w:sz w:val="32"/>
        </w:rPr>
        <w:t>(二)负责副处级以上退休干部的宏观管理和指导，开展调查研究，针对老干部工作中的新情况、新问题，及时提出建设性意见，为市委、市人民政府制定有关老干部工作的政策规定提供情况和依据。</w:t>
      </w:r>
    </w:p>
    <w:p>
      <w:pPr>
        <w:pStyle w:val="5"/>
        <w:ind w:firstLine="640" w:firstLineChars="200"/>
        <w:rPr>
          <w:rFonts w:ascii="仿宋" w:hAnsi="仿宋" w:eastAsia="仿宋" w:cs="仿宋"/>
          <w:sz w:val="32"/>
        </w:rPr>
      </w:pPr>
      <w:r>
        <w:rPr>
          <w:rFonts w:hint="eastAsia" w:ascii="仿宋" w:hAnsi="仿宋" w:eastAsia="仿宋" w:cs="仿宋"/>
          <w:sz w:val="32"/>
        </w:rPr>
        <w:t>(三)适应新形势的需要，抓好</w:t>
      </w:r>
      <w:r>
        <w:fldChar w:fldCharType="begin"/>
      </w:r>
      <w:r>
        <w:instrText xml:space="preserve"> HYPERLINK "http://baike.sogou.com/lemma/ShowInnerLink.htm?lemmaId=55790086&amp;ss_c=ssc.citiao.link" \t "_blank" </w:instrText>
      </w:r>
      <w:r>
        <w:fldChar w:fldCharType="separate"/>
      </w:r>
      <w:r>
        <w:rPr>
          <w:rFonts w:hint="eastAsia" w:ascii="仿宋" w:hAnsi="仿宋" w:eastAsia="仿宋" w:cs="仿宋"/>
          <w:sz w:val="32"/>
        </w:rPr>
        <w:t>离退休干部</w:t>
      </w:r>
      <w:r>
        <w:rPr>
          <w:rFonts w:hint="eastAsia" w:ascii="仿宋" w:hAnsi="仿宋" w:eastAsia="仿宋" w:cs="仿宋"/>
          <w:sz w:val="32"/>
        </w:rPr>
        <w:fldChar w:fldCharType="end"/>
      </w:r>
      <w:r>
        <w:rPr>
          <w:rFonts w:hint="eastAsia" w:ascii="仿宋" w:hAnsi="仿宋" w:eastAsia="仿宋" w:cs="仿宋"/>
          <w:sz w:val="32"/>
        </w:rPr>
        <w:t>的政治学习，协助市委组织部指导离退休干部党支部建设，做好老干部的</w:t>
      </w:r>
      <w:r>
        <w:fldChar w:fldCharType="begin"/>
      </w:r>
      <w:r>
        <w:instrText xml:space="preserve"> HYPERLINK "http://baike.sogou.com/lemma/ShowInnerLink.htm?lemmaId=7678428&amp;ss_c=ssc.citiao.link" \t "_blank" </w:instrText>
      </w:r>
      <w:r>
        <w:fldChar w:fldCharType="separate"/>
      </w:r>
      <w:r>
        <w:rPr>
          <w:rFonts w:hint="eastAsia" w:ascii="仿宋" w:hAnsi="仿宋" w:eastAsia="仿宋" w:cs="仿宋"/>
          <w:sz w:val="32"/>
        </w:rPr>
        <w:t>思想政治工作</w:t>
      </w:r>
      <w:r>
        <w:rPr>
          <w:rFonts w:hint="eastAsia" w:ascii="仿宋" w:hAnsi="仿宋" w:eastAsia="仿宋" w:cs="仿宋"/>
          <w:sz w:val="32"/>
        </w:rPr>
        <w:fldChar w:fldCharType="end"/>
      </w:r>
      <w:r>
        <w:rPr>
          <w:rFonts w:hint="eastAsia" w:ascii="仿宋" w:hAnsi="仿宋" w:eastAsia="仿宋" w:cs="仿宋"/>
          <w:sz w:val="32"/>
        </w:rPr>
        <w:t>。</w:t>
      </w:r>
    </w:p>
    <w:p>
      <w:pPr>
        <w:pStyle w:val="5"/>
        <w:ind w:firstLine="640" w:firstLineChars="200"/>
        <w:rPr>
          <w:rFonts w:ascii="仿宋" w:hAnsi="仿宋" w:eastAsia="仿宋" w:cs="仿宋"/>
          <w:sz w:val="32"/>
        </w:rPr>
      </w:pPr>
      <w:r>
        <w:rPr>
          <w:rFonts w:hint="eastAsia" w:ascii="仿宋" w:hAnsi="仿宋" w:eastAsia="仿宋" w:cs="仿宋"/>
          <w:sz w:val="32"/>
        </w:rPr>
        <w:t>(四)落实党和国家关于老干部政治、工作的方针政策，全面落实老干部政治待遇和生活待遇，保证离休干部的基本生活。</w:t>
      </w:r>
    </w:p>
    <w:p>
      <w:pPr>
        <w:pStyle w:val="5"/>
        <w:ind w:firstLine="640" w:firstLineChars="200"/>
        <w:rPr>
          <w:rFonts w:ascii="仿宋" w:hAnsi="仿宋" w:eastAsia="仿宋" w:cs="仿宋"/>
          <w:sz w:val="32"/>
        </w:rPr>
      </w:pPr>
      <w:r>
        <w:rPr>
          <w:rFonts w:hint="eastAsia" w:ascii="仿宋" w:hAnsi="仿宋" w:eastAsia="仿宋" w:cs="仿宋"/>
          <w:sz w:val="32"/>
        </w:rPr>
        <w:t>(五)抓好老干部工作宣传，负责对老干(老年)文化团体的管理和指导，组织离退休干部开展科学健康的文化健身活动，大力宣传敬老、爱老、助老的传统美德，不断提高全社会的敬老观念，依法维护老干部合法权益。</w:t>
      </w:r>
    </w:p>
    <w:p>
      <w:pPr>
        <w:pStyle w:val="5"/>
        <w:ind w:firstLine="640" w:firstLineChars="200"/>
        <w:rPr>
          <w:rFonts w:ascii="仿宋" w:hAnsi="仿宋" w:eastAsia="仿宋" w:cs="仿宋"/>
          <w:sz w:val="32"/>
        </w:rPr>
      </w:pPr>
      <w:r>
        <w:rPr>
          <w:rFonts w:hint="eastAsia" w:ascii="仿宋" w:hAnsi="仿宋" w:eastAsia="仿宋" w:cs="仿宋"/>
          <w:sz w:val="32"/>
        </w:rPr>
        <w:t>(六)会同有关方面做好老干部的安置、保健工作，协助有关部门加强对老干部病室的管理，协助处理老干部逝世后的丧事、遗属生活待遇等方面的问题。</w:t>
      </w:r>
    </w:p>
    <w:p>
      <w:pPr>
        <w:pStyle w:val="5"/>
        <w:ind w:firstLine="640" w:firstLineChars="200"/>
        <w:rPr>
          <w:rFonts w:ascii="仿宋" w:hAnsi="仿宋" w:eastAsia="仿宋" w:cs="仿宋"/>
          <w:sz w:val="32"/>
        </w:rPr>
      </w:pPr>
      <w:r>
        <w:rPr>
          <w:rFonts w:hint="eastAsia" w:ascii="仿宋" w:hAnsi="仿宋" w:eastAsia="仿宋" w:cs="仿宋"/>
          <w:sz w:val="32"/>
        </w:rPr>
        <w:t>(七)负责回益探亲访友、来益参观的离休干部接待服务工作。</w:t>
      </w:r>
    </w:p>
    <w:p>
      <w:pPr>
        <w:pStyle w:val="5"/>
        <w:ind w:firstLine="640" w:firstLineChars="200"/>
        <w:rPr>
          <w:rFonts w:ascii="仿宋" w:hAnsi="仿宋" w:eastAsia="仿宋" w:cs="仿宋"/>
          <w:sz w:val="32"/>
        </w:rPr>
      </w:pPr>
      <w:r>
        <w:rPr>
          <w:rFonts w:hint="eastAsia" w:ascii="仿宋" w:hAnsi="仿宋" w:eastAsia="仿宋" w:cs="仿宋"/>
          <w:sz w:val="32"/>
        </w:rPr>
        <w:t>(八)负责处理老干部来信来访，帮助解决实际问题，保持老干部队伍的稳定。</w:t>
      </w:r>
    </w:p>
    <w:p>
      <w:pPr>
        <w:pStyle w:val="5"/>
        <w:ind w:firstLine="640" w:firstLineChars="200"/>
        <w:rPr>
          <w:rFonts w:ascii="仿宋" w:hAnsi="仿宋" w:eastAsia="仿宋" w:cs="仿宋"/>
          <w:sz w:val="32"/>
        </w:rPr>
      </w:pPr>
      <w:r>
        <w:rPr>
          <w:rFonts w:hint="eastAsia" w:ascii="仿宋" w:hAnsi="仿宋" w:eastAsia="仿宋" w:cs="仿宋"/>
          <w:sz w:val="32"/>
        </w:rPr>
        <w:t>(九)负责指导全市老干部工作部门的自身建设工作。</w:t>
      </w:r>
    </w:p>
    <w:p>
      <w:pPr>
        <w:pStyle w:val="5"/>
        <w:ind w:firstLine="640" w:firstLineChars="200"/>
        <w:rPr>
          <w:rFonts w:ascii="仿宋" w:hAnsi="仿宋" w:eastAsia="仿宋" w:cs="仿宋"/>
          <w:sz w:val="32"/>
        </w:rPr>
      </w:pPr>
      <w:r>
        <w:rPr>
          <w:rFonts w:hint="eastAsia" w:ascii="仿宋" w:hAnsi="仿宋" w:eastAsia="仿宋" w:cs="仿宋"/>
          <w:sz w:val="32"/>
        </w:rPr>
        <w:t>(十)负责指导和协调市</w:t>
      </w:r>
      <w:r>
        <w:fldChar w:fldCharType="begin"/>
      </w:r>
      <w:r>
        <w:instrText xml:space="preserve"> HYPERLINK "http://baike.sogou.com/lemma/ShowInnerLink.htm?lemmaId=7733573&amp;ss_c=ssc.citiao.link" \t "_blank" </w:instrText>
      </w:r>
      <w:r>
        <w:fldChar w:fldCharType="separate"/>
      </w:r>
      <w:r>
        <w:rPr>
          <w:rFonts w:hint="eastAsia" w:ascii="仿宋" w:hAnsi="仿宋" w:eastAsia="仿宋" w:cs="仿宋"/>
          <w:sz w:val="32"/>
        </w:rPr>
        <w:t>关心下一代工作委员会</w:t>
      </w:r>
      <w:r>
        <w:rPr>
          <w:rFonts w:hint="eastAsia" w:ascii="仿宋" w:hAnsi="仿宋" w:eastAsia="仿宋" w:cs="仿宋"/>
          <w:sz w:val="32"/>
        </w:rPr>
        <w:fldChar w:fldCharType="end"/>
      </w:r>
      <w:r>
        <w:rPr>
          <w:rFonts w:hint="eastAsia" w:ascii="仿宋" w:hAnsi="仿宋" w:eastAsia="仿宋" w:cs="仿宋"/>
          <w:sz w:val="32"/>
        </w:rPr>
        <w:t>的日常工作。</w:t>
      </w:r>
    </w:p>
    <w:p>
      <w:pPr>
        <w:pStyle w:val="5"/>
        <w:ind w:firstLine="640" w:firstLineChars="200"/>
        <w:rPr>
          <w:rFonts w:ascii="仿宋" w:hAnsi="仿宋" w:eastAsia="仿宋" w:cs="仿宋"/>
          <w:sz w:val="32"/>
        </w:rPr>
      </w:pPr>
      <w:r>
        <w:rPr>
          <w:rFonts w:hint="eastAsia" w:ascii="仿宋" w:hAnsi="仿宋" w:eastAsia="仿宋" w:cs="仿宋"/>
          <w:sz w:val="32"/>
        </w:rPr>
        <w:t>(十一)负责对所属单位的国有资产和财务的监督和管理。</w:t>
      </w:r>
    </w:p>
    <w:p>
      <w:pPr>
        <w:pStyle w:val="5"/>
        <w:ind w:firstLine="640" w:firstLineChars="200"/>
        <w:rPr>
          <w:rFonts w:ascii="仿宋" w:hAnsi="仿宋" w:eastAsia="仿宋" w:cs="仿宋"/>
          <w:sz w:val="32"/>
        </w:rPr>
      </w:pPr>
      <w:r>
        <w:rPr>
          <w:rFonts w:hint="eastAsia" w:ascii="仿宋" w:hAnsi="仿宋" w:eastAsia="仿宋" w:cs="仿宋"/>
          <w:sz w:val="32"/>
        </w:rPr>
        <w:t>(十二)承办市委、市人民政府交办的其他工作。</w:t>
      </w:r>
    </w:p>
    <w:p>
      <w:pPr>
        <w:pStyle w:val="5"/>
        <w:ind w:firstLine="640" w:firstLineChars="200"/>
        <w:rPr>
          <w:rFonts w:ascii="仿宋" w:hAnsi="仿宋" w:eastAsia="仿宋" w:cs="仿宋"/>
          <w:sz w:val="32"/>
        </w:rPr>
      </w:pPr>
      <w:r>
        <w:rPr>
          <w:rFonts w:hint="eastAsia" w:ascii="仿宋" w:hAnsi="仿宋" w:eastAsia="仿宋" w:cs="仿宋"/>
          <w:sz w:val="32"/>
        </w:rPr>
        <w:t>(十三)组织市直单位离退休老干部开展政治、文化、娱乐、健身等活动。</w:t>
      </w:r>
    </w:p>
    <w:p>
      <w:pPr>
        <w:ind w:firstLine="640" w:firstLineChars="200"/>
        <w:jc w:val="left"/>
        <w:rPr>
          <w:rFonts w:ascii="黑体" w:hAnsi="黑体" w:eastAsia="黑体" w:cs="黑体"/>
          <w:sz w:val="32"/>
        </w:rPr>
      </w:pPr>
      <w:r>
        <w:rPr>
          <w:rFonts w:ascii="黑体" w:hAnsi="黑体" w:eastAsia="黑体" w:cs="黑体"/>
          <w:sz w:val="32"/>
        </w:rPr>
        <w:t>二、机构设置</w:t>
      </w:r>
    </w:p>
    <w:p>
      <w:pPr>
        <w:ind w:firstLine="800" w:firstLineChars="250"/>
        <w:jc w:val="left"/>
        <w:rPr>
          <w:rFonts w:ascii="仿宋" w:hAnsi="仿宋" w:eastAsia="仿宋" w:cs="仿宋"/>
          <w:sz w:val="32"/>
        </w:rPr>
      </w:pPr>
      <w:r>
        <w:rPr>
          <w:rFonts w:hint="eastAsia" w:ascii="仿宋" w:hAnsi="仿宋" w:eastAsia="仿宋" w:cs="仿宋"/>
          <w:sz w:val="32"/>
        </w:rPr>
        <w:t>我局内设办公室、组织宣教科、生活待遇科、市离退休党工委办公室、局机关党委5个科室，下属二级机构2个——市老干部休养活动管理处（财务独立核算），市关工委办公室（财务未独立核算）。</w:t>
      </w:r>
    </w:p>
    <w:p>
      <w:pPr>
        <w:ind w:left="105" w:leftChars="50" w:firstLine="640" w:firstLineChars="200"/>
        <w:jc w:val="left"/>
        <w:rPr>
          <w:rFonts w:ascii="黑体" w:hAnsi="黑体" w:eastAsia="黑体" w:cs="黑体"/>
          <w:sz w:val="32"/>
        </w:rPr>
      </w:pPr>
      <w:r>
        <w:rPr>
          <w:rFonts w:ascii="黑体" w:hAnsi="黑体" w:eastAsia="黑体" w:cs="黑体"/>
          <w:sz w:val="32"/>
        </w:rPr>
        <w:t>三、部门决算单位构成</w:t>
      </w:r>
    </w:p>
    <w:p>
      <w:pPr>
        <w:widowControl/>
        <w:spacing w:before="150" w:line="405" w:lineRule="atLeast"/>
        <w:ind w:firstLine="640"/>
        <w:jc w:val="left"/>
        <w:rPr>
          <w:color w:val="333333"/>
        </w:rPr>
      </w:pPr>
      <w:r>
        <w:rPr>
          <w:rFonts w:hint="eastAsia" w:ascii="仿宋" w:hAnsi="仿宋" w:eastAsia="仿宋" w:cs="仿宋"/>
          <w:color w:val="333333"/>
          <w:kern w:val="0"/>
          <w:sz w:val="32"/>
          <w:szCs w:val="32"/>
          <w:shd w:val="clear" w:color="auto" w:fill="FFFFFF"/>
        </w:rPr>
        <w:t>中共益阳市委老干部局汇总部门决算包括：中共益阳市委老干部局部门决算、益阳</w:t>
      </w:r>
      <w:r>
        <w:rPr>
          <w:rFonts w:hint="eastAsia" w:ascii="仿宋" w:hAnsi="仿宋" w:eastAsia="仿宋"/>
          <w:kern w:val="0"/>
          <w:sz w:val="32"/>
          <w:szCs w:val="32"/>
        </w:rPr>
        <w:t>市老干部休养活动管理处部门决算。</w:t>
      </w:r>
    </w:p>
    <w:p>
      <w:pPr>
        <w:ind w:firstLine="640"/>
        <w:rPr>
          <w:rFonts w:ascii="仿宋" w:hAnsi="仿宋" w:eastAsia="仿宋" w:cs="仿宋"/>
          <w:sz w:val="32"/>
        </w:rPr>
      </w:pPr>
    </w:p>
    <w:tbl>
      <w:tblPr>
        <w:tblStyle w:val="6"/>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r>
              <w:rPr>
                <w:rFonts w:ascii="仿宋" w:hAnsi="仿宋" w:eastAsia="仿宋" w:cs="仿宋"/>
                <w:color w:val="333333"/>
                <w:sz w:val="28"/>
                <w:szCs w:val="28"/>
                <w:shd w:val="clear" w:color="auto" w:fill="FFFFFF"/>
              </w:rPr>
              <w:t>中共益阳市委老干部局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265"/>
              </w:tabs>
              <w:jc w:val="center"/>
              <w:rPr>
                <w:rFonts w:ascii="宋体" w:hAnsi="宋体" w:eastAsia="宋体" w:cs="宋体"/>
                <w:sz w:val="22"/>
              </w:rPr>
            </w:pPr>
            <w:r>
              <w:rPr>
                <w:rFonts w:hint="eastAsia" w:ascii="仿宋" w:hAnsi="仿宋" w:eastAsia="仿宋" w:cs="仿宋"/>
                <w:color w:val="333333"/>
                <w:sz w:val="28"/>
                <w:szCs w:val="28"/>
                <w:shd w:val="clear" w:color="auto" w:fill="FFFFFF"/>
              </w:rPr>
              <w:t>益阳市老干部休养活动管理处</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益阳市委老干部局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w:t>
      </w:r>
      <w:r>
        <w:rPr>
          <w:rFonts w:hint="eastAsia" w:ascii="宋体" w:hAnsi="宋体" w:eastAsia="宋体" w:cs="宋体"/>
          <w:sz w:val="44"/>
        </w:rPr>
        <w:t>汇总</w:t>
      </w:r>
      <w:r>
        <w:rPr>
          <w:rFonts w:ascii="宋体" w:hAnsi="宋体" w:eastAsia="宋体" w:cs="宋体"/>
          <w:sz w:val="44"/>
        </w:rPr>
        <w:t>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drawing>
          <wp:inline distT="0" distB="0" distL="0" distR="0">
            <wp:extent cx="5274310" cy="356806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5274310" cy="3568579"/>
                    </a:xfrm>
                    <a:prstGeom prst="rect">
                      <a:avLst/>
                    </a:prstGeom>
                    <a:noFill/>
                    <a:ln w="9525">
                      <a:noFill/>
                      <a:miter lim="800000"/>
                      <a:headEnd/>
                      <a:tailEnd/>
                    </a:ln>
                  </pic:spPr>
                </pic:pic>
              </a:graphicData>
            </a:graphic>
          </wp:inline>
        </w:drawing>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drawing>
          <wp:inline distT="0" distB="0" distL="0" distR="0">
            <wp:extent cx="4133850" cy="4514850"/>
            <wp:effectExtent l="19050" t="0" r="0" b="0"/>
            <wp:docPr id="10" name="图片 2" descr="C:\Users\ADMINI~1\AppData\Local\Temp\WeChat Files\c2dba837e9c7d3552b6475fe5640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C:\Users\ADMINI~1\AppData\Local\Temp\WeChat Files\c2dba837e9c7d3552b6475fe5640b4b.png"/>
                    <pic:cNvPicPr>
                      <a:picLocks noChangeAspect="1" noChangeArrowheads="1"/>
                    </pic:cNvPicPr>
                  </pic:nvPicPr>
                  <pic:blipFill>
                    <a:blip r:embed="rId6" cstate="print"/>
                    <a:srcRect/>
                    <a:stretch>
                      <a:fillRect/>
                    </a:stretch>
                  </pic:blipFill>
                  <pic:spPr>
                    <a:xfrm>
                      <a:off x="0" y="0"/>
                      <a:ext cx="4133850" cy="4514850"/>
                    </a:xfrm>
                    <a:prstGeom prst="rect">
                      <a:avLst/>
                    </a:prstGeom>
                    <a:noFill/>
                    <a:ln w="9525">
                      <a:noFill/>
                      <a:miter lim="800000"/>
                      <a:headEnd/>
                      <a:tailEnd/>
                    </a:ln>
                  </pic:spPr>
                </pic:pic>
              </a:graphicData>
            </a:graphic>
          </wp:inline>
        </w:drawing>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drawing>
          <wp:inline distT="0" distB="0" distL="0" distR="0">
            <wp:extent cx="3933825" cy="4829175"/>
            <wp:effectExtent l="19050" t="0" r="9525" b="0"/>
            <wp:docPr id="11" name="图片 3" descr="C:\Users\ADMINI~1\AppData\Local\Temp\WeChat Files\cb77e13ad1fbd7e963a1263e711b1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C:\Users\ADMINI~1\AppData\Local\Temp\WeChat Files\cb77e13ad1fbd7e963a1263e711b14e.png"/>
                    <pic:cNvPicPr>
                      <a:picLocks noChangeAspect="1" noChangeArrowheads="1"/>
                    </pic:cNvPicPr>
                  </pic:nvPicPr>
                  <pic:blipFill>
                    <a:blip r:embed="rId7" cstate="print"/>
                    <a:srcRect/>
                    <a:stretch>
                      <a:fillRect/>
                    </a:stretch>
                  </pic:blipFill>
                  <pic:spPr>
                    <a:xfrm>
                      <a:off x="0" y="0"/>
                      <a:ext cx="3933825" cy="4829175"/>
                    </a:xfrm>
                    <a:prstGeom prst="rect">
                      <a:avLst/>
                    </a:prstGeom>
                    <a:noFill/>
                    <a:ln w="9525">
                      <a:noFill/>
                      <a:miter lim="800000"/>
                      <a:headEnd/>
                      <a:tailEnd/>
                    </a:ln>
                  </pic:spPr>
                </pic:pic>
              </a:graphicData>
            </a:graphic>
          </wp:inline>
        </w:drawing>
      </w:r>
    </w:p>
    <w:p>
      <w:pPr>
        <w:jc w:val="left"/>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drawing>
          <wp:inline distT="0" distB="0" distL="0" distR="0">
            <wp:extent cx="5274310" cy="3117215"/>
            <wp:effectExtent l="19050" t="0" r="2540" b="0"/>
            <wp:docPr id="12" name="图片 4" descr="C:\Users\ADMINI~1\AppData\Local\Temp\WeChat Files\2ab7b793192ea4c6fda3d16edb4d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C:\Users\ADMINI~1\AppData\Local\Temp\WeChat Files\2ab7b793192ea4c6fda3d16edb4d992.png"/>
                    <pic:cNvPicPr>
                      <a:picLocks noChangeAspect="1" noChangeArrowheads="1"/>
                    </pic:cNvPicPr>
                  </pic:nvPicPr>
                  <pic:blipFill>
                    <a:blip r:embed="rId8" cstate="print"/>
                    <a:srcRect/>
                    <a:stretch>
                      <a:fillRect/>
                    </a:stretch>
                  </pic:blipFill>
                  <pic:spPr>
                    <a:xfrm>
                      <a:off x="0" y="0"/>
                      <a:ext cx="5274310" cy="3117270"/>
                    </a:xfrm>
                    <a:prstGeom prst="rect">
                      <a:avLst/>
                    </a:prstGeom>
                    <a:noFill/>
                    <a:ln w="9525">
                      <a:noFill/>
                      <a:miter lim="800000"/>
                      <a:headEnd/>
                      <a:tailEnd/>
                    </a:ln>
                  </pic:spPr>
                </pic:pic>
              </a:graphicData>
            </a:graphic>
          </wp:inline>
        </w:drawing>
      </w:r>
    </w:p>
    <w:p>
      <w:pPr>
        <w:jc w:val="left"/>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drawing>
          <wp:inline distT="0" distB="0" distL="0" distR="0">
            <wp:extent cx="4924425" cy="5743575"/>
            <wp:effectExtent l="19050" t="0" r="9525" b="0"/>
            <wp:docPr id="13" name="图片 5" descr="C:\Users\ADMINI~1\AppData\Local\Temp\WeChat Files\3d84cb0a6a758a45eda1e94096e4d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C:\Users\ADMINI~1\AppData\Local\Temp\WeChat Files\3d84cb0a6a758a45eda1e94096e4d05.png"/>
                    <pic:cNvPicPr>
                      <a:picLocks noChangeAspect="1" noChangeArrowheads="1"/>
                    </pic:cNvPicPr>
                  </pic:nvPicPr>
                  <pic:blipFill>
                    <a:blip r:embed="rId9" cstate="print"/>
                    <a:srcRect/>
                    <a:stretch>
                      <a:fillRect/>
                    </a:stretch>
                  </pic:blipFill>
                  <pic:spPr>
                    <a:xfrm>
                      <a:off x="0" y="0"/>
                      <a:ext cx="4924425" cy="5743575"/>
                    </a:xfrm>
                    <a:prstGeom prst="rect">
                      <a:avLst/>
                    </a:prstGeom>
                    <a:noFill/>
                    <a:ln w="9525">
                      <a:noFill/>
                      <a:miter lim="800000"/>
                      <a:headEnd/>
                      <a:tailEnd/>
                    </a:ln>
                  </pic:spPr>
                </pic:pic>
              </a:graphicData>
            </a:graphic>
          </wp:inline>
        </w:drawing>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drawing>
          <wp:inline distT="0" distB="0" distL="0" distR="0">
            <wp:extent cx="4848225" cy="5657850"/>
            <wp:effectExtent l="19050" t="0" r="9525" b="0"/>
            <wp:docPr id="15" name="图片 7" descr="C:\Users\ADMINI~1\AppData\Local\Temp\WeChat Files\99eb2537538eae8d8e148f3bc62f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C:\Users\ADMINI~1\AppData\Local\Temp\WeChat Files\99eb2537538eae8d8e148f3bc62f995.png"/>
                    <pic:cNvPicPr>
                      <a:picLocks noChangeAspect="1" noChangeArrowheads="1"/>
                    </pic:cNvPicPr>
                  </pic:nvPicPr>
                  <pic:blipFill>
                    <a:blip r:embed="rId10" cstate="print"/>
                    <a:srcRect/>
                    <a:stretch>
                      <a:fillRect/>
                    </a:stretch>
                  </pic:blipFill>
                  <pic:spPr>
                    <a:xfrm>
                      <a:off x="0" y="0"/>
                      <a:ext cx="4848225" cy="5657850"/>
                    </a:xfrm>
                    <a:prstGeom prst="rect">
                      <a:avLst/>
                    </a:prstGeom>
                    <a:noFill/>
                    <a:ln w="9525">
                      <a:noFill/>
                      <a:miter lim="800000"/>
                      <a:headEnd/>
                      <a:tailEnd/>
                    </a:ln>
                  </pic:spPr>
                </pic:pic>
              </a:graphicData>
            </a:graphic>
          </wp:inline>
        </w:drawing>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drawing>
          <wp:inline distT="0" distB="0" distL="0" distR="0">
            <wp:extent cx="5274310" cy="4719955"/>
            <wp:effectExtent l="19050" t="0" r="2540" b="0"/>
            <wp:docPr id="14" name="图片 6" descr="C:\Users\ADMINI~1\AppData\Local\Temp\WeChat Files\0df02c46e73bc56a5398078f3a5c6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C:\Users\ADMINI~1\AppData\Local\Temp\WeChat Files\0df02c46e73bc56a5398078f3a5c6b3.png"/>
                    <pic:cNvPicPr>
                      <a:picLocks noChangeAspect="1" noChangeArrowheads="1"/>
                    </pic:cNvPicPr>
                  </pic:nvPicPr>
                  <pic:blipFill>
                    <a:blip r:embed="rId11" cstate="print"/>
                    <a:srcRect/>
                    <a:stretch>
                      <a:fillRect/>
                    </a:stretch>
                  </pic:blipFill>
                  <pic:spPr>
                    <a:xfrm>
                      <a:off x="0" y="0"/>
                      <a:ext cx="5274310" cy="4720387"/>
                    </a:xfrm>
                    <a:prstGeom prst="rect">
                      <a:avLst/>
                    </a:prstGeom>
                    <a:noFill/>
                    <a:ln w="9525">
                      <a:noFill/>
                      <a:miter lim="800000"/>
                      <a:headEnd/>
                      <a:tailEnd/>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表8：政府性基金预算财政拨款收入支出决算表</w:t>
      </w:r>
      <w:r>
        <w:drawing>
          <wp:inline distT="0" distB="0" distL="0" distR="0">
            <wp:extent cx="5274310" cy="1703070"/>
            <wp:effectExtent l="19050" t="0" r="254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2" cstate="print"/>
                    <a:srcRect/>
                    <a:stretch>
                      <a:fillRect/>
                    </a:stretch>
                  </pic:blipFill>
                  <pic:spPr>
                    <a:xfrm>
                      <a:off x="0" y="0"/>
                      <a:ext cx="5274310" cy="1703343"/>
                    </a:xfrm>
                    <a:prstGeom prst="rect">
                      <a:avLst/>
                    </a:prstGeom>
                    <a:noFill/>
                    <a:ln w="9525">
                      <a:noFill/>
                      <a:miter lim="800000"/>
                      <a:headEnd/>
                      <a:tailEnd/>
                    </a:ln>
                  </pic:spPr>
                </pic:pic>
              </a:graphicData>
            </a:graphic>
          </wp:inline>
        </w:drawing>
      </w:r>
    </w:p>
    <w:p>
      <w:pPr>
        <w:jc w:val="left"/>
        <w:rPr>
          <w:rFonts w:ascii="仿宋" w:hAnsi="仿宋" w:eastAsia="仿宋" w:cs="仿宋"/>
          <w:sz w:val="32"/>
        </w:rPr>
      </w:pPr>
      <w:r>
        <w:rPr>
          <w:rFonts w:hint="eastAsia" w:ascii="仿宋" w:hAnsi="仿宋" w:eastAsia="仿宋" w:cs="仿宋"/>
          <w:sz w:val="32"/>
        </w:rPr>
        <w:t>益阳市委老干部局</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rPr>
        <w:t>益阳市委老干部局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w:t>
      </w:r>
    </w:p>
    <w:p>
      <w:pPr>
        <w:jc w:val="center"/>
        <w:rPr>
          <w:rFonts w:ascii="方正小标宋_GBK" w:hAnsi="方正小标宋_GBK" w:eastAsia="方正小标宋_GBK" w:cs="方正小标宋_GBK"/>
          <w:sz w:val="44"/>
        </w:rPr>
      </w:pPr>
      <w:r>
        <w:rPr>
          <w:rFonts w:ascii="宋体" w:hAnsi="宋体" w:eastAsia="宋体" w:cs="宋体"/>
          <w:sz w:val="44"/>
        </w:rPr>
        <w:t>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益阳市委老干部局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益阳市委老干部局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1434.3</w:t>
      </w:r>
      <w:r>
        <w:rPr>
          <w:rFonts w:ascii="仿宋" w:hAnsi="仿宋" w:eastAsia="仿宋" w:cs="仿宋"/>
          <w:sz w:val="32"/>
        </w:rPr>
        <w:t>万元，比上年同期增加</w:t>
      </w:r>
      <w:r>
        <w:rPr>
          <w:rFonts w:hint="eastAsia" w:ascii="仿宋" w:hAnsi="仿宋" w:eastAsia="仿宋" w:cs="仿宋"/>
          <w:sz w:val="32"/>
        </w:rPr>
        <w:t>124.94</w:t>
      </w:r>
      <w:r>
        <w:rPr>
          <w:rFonts w:ascii="仿宋" w:hAnsi="仿宋" w:eastAsia="仿宋" w:cs="仿宋"/>
          <w:sz w:val="32"/>
        </w:rPr>
        <w:t>万元，增长</w:t>
      </w:r>
      <w:r>
        <w:rPr>
          <w:rFonts w:hint="eastAsia" w:ascii="仿宋" w:hAnsi="仿宋" w:eastAsia="仿宋" w:cs="仿宋"/>
          <w:sz w:val="32"/>
        </w:rPr>
        <w:t>9.54</w:t>
      </w:r>
      <w:r>
        <w:rPr>
          <w:rFonts w:ascii="仿宋" w:hAnsi="仿宋" w:eastAsia="仿宋" w:cs="仿宋"/>
          <w:sz w:val="32"/>
        </w:rPr>
        <w:t>%；支出总计</w:t>
      </w:r>
      <w:r>
        <w:rPr>
          <w:rFonts w:hint="eastAsia" w:ascii="仿宋" w:hAnsi="仿宋" w:eastAsia="仿宋" w:cs="仿宋"/>
          <w:sz w:val="32"/>
        </w:rPr>
        <w:t>1434.3</w:t>
      </w:r>
      <w:r>
        <w:rPr>
          <w:rFonts w:ascii="仿宋" w:hAnsi="仿宋" w:eastAsia="仿宋" w:cs="仿宋"/>
          <w:sz w:val="32"/>
        </w:rPr>
        <w:t>万元，比上年同期增加</w:t>
      </w:r>
      <w:r>
        <w:rPr>
          <w:rFonts w:hint="eastAsia" w:ascii="仿宋" w:hAnsi="仿宋" w:eastAsia="仿宋" w:cs="仿宋"/>
          <w:sz w:val="32"/>
        </w:rPr>
        <w:t>210.66</w:t>
      </w:r>
      <w:r>
        <w:rPr>
          <w:rFonts w:ascii="仿宋" w:hAnsi="仿宋" w:eastAsia="仿宋" w:cs="仿宋"/>
          <w:sz w:val="32"/>
        </w:rPr>
        <w:t>万元，增长</w:t>
      </w:r>
      <w:r>
        <w:rPr>
          <w:rFonts w:hint="eastAsia" w:ascii="仿宋" w:hAnsi="仿宋" w:eastAsia="仿宋" w:cs="仿宋"/>
          <w:sz w:val="32"/>
        </w:rPr>
        <w:t>17.22</w:t>
      </w:r>
      <w:r>
        <w:rPr>
          <w:rFonts w:ascii="仿宋" w:hAnsi="仿宋" w:eastAsia="仿宋" w:cs="仿宋"/>
          <w:sz w:val="32"/>
        </w:rPr>
        <w:t>%。主要原因：</w:t>
      </w:r>
      <w:r>
        <w:rPr>
          <w:rFonts w:hint="eastAsia" w:ascii="仿宋" w:hAnsi="仿宋" w:eastAsia="仿宋" w:cs="仿宋"/>
          <w:sz w:val="32"/>
        </w:rPr>
        <w:t>增人增资；协会活动支出增加；绩效考核奖励增加；新增关工委新办公点装修、办公设备与家具购置经费；军队移交地方离休退休人员安置费增加。</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1213.10</w:t>
      </w:r>
      <w:r>
        <w:rPr>
          <w:rFonts w:ascii="仿宋" w:hAnsi="仿宋" w:eastAsia="仿宋" w:cs="仿宋"/>
          <w:sz w:val="32"/>
        </w:rPr>
        <w:t>万元，其中：财政拨款收入</w:t>
      </w:r>
      <w:r>
        <w:rPr>
          <w:rFonts w:hint="eastAsia" w:ascii="仿宋" w:hAnsi="仿宋" w:eastAsia="仿宋" w:cs="仿宋"/>
          <w:sz w:val="32"/>
        </w:rPr>
        <w:t>1126.24</w:t>
      </w:r>
      <w:r>
        <w:rPr>
          <w:rFonts w:ascii="仿宋" w:hAnsi="仿宋" w:eastAsia="仿宋" w:cs="仿宋"/>
          <w:sz w:val="32"/>
        </w:rPr>
        <w:t>万元，占</w:t>
      </w:r>
      <w:r>
        <w:rPr>
          <w:rFonts w:hint="eastAsia" w:ascii="仿宋" w:hAnsi="仿宋" w:eastAsia="仿宋" w:cs="仿宋"/>
          <w:sz w:val="32"/>
        </w:rPr>
        <w:t>92.85</w:t>
      </w:r>
      <w:r>
        <w:rPr>
          <w:rFonts w:ascii="仿宋" w:hAnsi="仿宋" w:eastAsia="仿宋" w:cs="仿宋"/>
          <w:sz w:val="32"/>
        </w:rPr>
        <w:t>%；</w:t>
      </w:r>
      <w:r>
        <w:rPr>
          <w:rFonts w:hint="eastAsia" w:ascii="仿宋" w:hAnsi="仿宋" w:eastAsia="仿宋" w:cs="仿宋"/>
          <w:sz w:val="32"/>
        </w:rPr>
        <w:t>上级补助收入0万元，占0%；</w:t>
      </w:r>
      <w:r>
        <w:rPr>
          <w:rFonts w:ascii="仿宋" w:hAnsi="仿宋" w:eastAsia="仿宋" w:cs="仿宋"/>
          <w:sz w:val="32"/>
        </w:rPr>
        <w:t>事业收入</w:t>
      </w:r>
      <w:r>
        <w:rPr>
          <w:rFonts w:hint="eastAsia" w:ascii="仿宋" w:hAnsi="仿宋" w:eastAsia="仿宋" w:cs="仿宋"/>
          <w:sz w:val="32"/>
        </w:rPr>
        <w:t>58.66</w:t>
      </w:r>
      <w:r>
        <w:rPr>
          <w:rFonts w:ascii="仿宋" w:hAnsi="仿宋" w:eastAsia="仿宋" w:cs="仿宋"/>
          <w:sz w:val="32"/>
        </w:rPr>
        <w:t>万元，占</w:t>
      </w:r>
      <w:r>
        <w:rPr>
          <w:rFonts w:hint="eastAsia" w:ascii="仿宋" w:hAnsi="仿宋" w:eastAsia="仿宋" w:cs="仿宋"/>
          <w:sz w:val="32"/>
        </w:rPr>
        <w:t>4.84</w:t>
      </w:r>
      <w:r>
        <w:rPr>
          <w:rFonts w:ascii="仿宋" w:hAnsi="仿宋" w:eastAsia="仿宋" w:cs="仿宋"/>
          <w:sz w:val="32"/>
        </w:rPr>
        <w:t>%；经营收入</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rPr>
        <w:t>附属单位上缴收入0万元，占0%；</w:t>
      </w:r>
      <w:r>
        <w:rPr>
          <w:rFonts w:ascii="仿宋" w:hAnsi="仿宋" w:eastAsia="仿宋" w:cs="仿宋"/>
          <w:sz w:val="32"/>
        </w:rPr>
        <w:t>其他收入</w:t>
      </w:r>
      <w:r>
        <w:rPr>
          <w:rFonts w:hint="eastAsia" w:ascii="仿宋" w:hAnsi="仿宋" w:eastAsia="仿宋" w:cs="仿宋"/>
          <w:sz w:val="32"/>
        </w:rPr>
        <w:t>28.20</w:t>
      </w:r>
      <w:r>
        <w:rPr>
          <w:rFonts w:ascii="仿宋" w:hAnsi="仿宋" w:eastAsia="仿宋" w:cs="仿宋"/>
          <w:sz w:val="32"/>
        </w:rPr>
        <w:t>万元，占</w:t>
      </w:r>
      <w:r>
        <w:rPr>
          <w:rFonts w:hint="eastAsia" w:ascii="仿宋" w:hAnsi="仿宋" w:eastAsia="仿宋" w:cs="仿宋"/>
          <w:sz w:val="32"/>
        </w:rPr>
        <w:t>2.32</w:t>
      </w:r>
      <w:r>
        <w:rPr>
          <w:rFonts w:ascii="仿宋" w:hAnsi="仿宋" w:eastAsia="仿宋" w:cs="仿宋"/>
          <w:sz w:val="32"/>
        </w:rPr>
        <w:t>%</w:t>
      </w:r>
      <w:r>
        <w:rPr>
          <w:rFonts w:hint="eastAsia" w:ascii="仿宋" w:hAnsi="仿宋" w:eastAsia="仿宋" w:cs="仿宋"/>
          <w:sz w:val="32"/>
        </w:rPr>
        <w:t>。</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1332.26</w:t>
      </w:r>
      <w:r>
        <w:rPr>
          <w:rFonts w:ascii="仿宋" w:hAnsi="仿宋" w:eastAsia="仿宋" w:cs="仿宋"/>
          <w:sz w:val="32"/>
        </w:rPr>
        <w:t>万元，其中：基本支出</w:t>
      </w:r>
      <w:r>
        <w:rPr>
          <w:rFonts w:hint="eastAsia" w:ascii="仿宋" w:hAnsi="仿宋" w:eastAsia="仿宋" w:cs="仿宋"/>
          <w:sz w:val="32"/>
        </w:rPr>
        <w:t>731.29</w:t>
      </w:r>
      <w:r>
        <w:rPr>
          <w:rFonts w:ascii="仿宋" w:hAnsi="仿宋" w:eastAsia="仿宋" w:cs="仿宋"/>
          <w:sz w:val="32"/>
        </w:rPr>
        <w:t>万元，占</w:t>
      </w:r>
      <w:r>
        <w:rPr>
          <w:rFonts w:hint="eastAsia" w:ascii="仿宋" w:hAnsi="仿宋" w:eastAsia="仿宋" w:cs="仿宋"/>
          <w:sz w:val="32"/>
        </w:rPr>
        <w:t>54.89</w:t>
      </w:r>
      <w:r>
        <w:rPr>
          <w:rFonts w:ascii="仿宋" w:hAnsi="仿宋" w:eastAsia="仿宋" w:cs="仿宋"/>
          <w:sz w:val="32"/>
        </w:rPr>
        <w:t>%；项目支出</w:t>
      </w:r>
      <w:r>
        <w:rPr>
          <w:rFonts w:hint="eastAsia" w:ascii="仿宋" w:hAnsi="仿宋" w:eastAsia="仿宋" w:cs="仿宋"/>
          <w:sz w:val="32"/>
        </w:rPr>
        <w:t>600.98</w:t>
      </w:r>
      <w:r>
        <w:rPr>
          <w:rFonts w:ascii="仿宋" w:hAnsi="仿宋" w:eastAsia="仿宋" w:cs="仿宋"/>
          <w:sz w:val="32"/>
        </w:rPr>
        <w:t>万元，占</w:t>
      </w:r>
      <w:r>
        <w:rPr>
          <w:rFonts w:hint="eastAsia" w:ascii="仿宋" w:hAnsi="仿宋" w:eastAsia="仿宋" w:cs="仿宋"/>
          <w:sz w:val="32"/>
        </w:rPr>
        <w:t>45.11</w:t>
      </w:r>
      <w:r>
        <w:rPr>
          <w:rFonts w:ascii="仿宋" w:hAnsi="仿宋" w:eastAsia="仿宋" w:cs="仿宋"/>
          <w:sz w:val="32"/>
        </w:rPr>
        <w:t>%；</w:t>
      </w:r>
      <w:r>
        <w:rPr>
          <w:rFonts w:hint="eastAsia" w:ascii="仿宋" w:hAnsi="仿宋" w:eastAsia="仿宋" w:cs="仿宋"/>
          <w:sz w:val="32"/>
        </w:rPr>
        <w:t>上缴上级支出0万元，占0%；</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rPr>
        <w:t>；对附属单位补助支出0万元，占0%。</w:t>
      </w:r>
    </w:p>
    <w:p>
      <w:pPr>
        <w:ind w:firstLine="640"/>
        <w:jc w:val="left"/>
        <w:rPr>
          <w:rFonts w:ascii="黑体" w:hAnsi="黑体" w:eastAsia="黑体" w:cs="黑体"/>
          <w:sz w:val="32"/>
        </w:rPr>
      </w:pPr>
      <w:bookmarkStart w:id="0" w:name="_GoBack"/>
      <w:bookmarkEnd w:id="0"/>
      <w:r>
        <w:rPr>
          <w:rFonts w:ascii="黑体" w:hAnsi="黑体" w:eastAsia="黑体" w:cs="黑体"/>
          <w:sz w:val="32"/>
        </w:rPr>
        <w:t xml:space="preserve"> 四、关于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480" w:firstLineChars="15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1126.24</w:t>
      </w:r>
      <w:r>
        <w:rPr>
          <w:rFonts w:ascii="仿宋" w:hAnsi="仿宋" w:eastAsia="仿宋" w:cs="仿宋"/>
          <w:sz w:val="32"/>
        </w:rPr>
        <w:t>万元，比上年同期增加</w:t>
      </w:r>
      <w:r>
        <w:rPr>
          <w:rFonts w:hint="eastAsia" w:ascii="仿宋" w:hAnsi="仿宋" w:eastAsia="仿宋" w:cs="仿宋"/>
          <w:sz w:val="32"/>
        </w:rPr>
        <w:t>63.73</w:t>
      </w:r>
      <w:r>
        <w:rPr>
          <w:rFonts w:ascii="仿宋" w:hAnsi="仿宋" w:eastAsia="仿宋" w:cs="仿宋"/>
          <w:sz w:val="32"/>
        </w:rPr>
        <w:t>万元，增长</w:t>
      </w:r>
      <w:r>
        <w:rPr>
          <w:rFonts w:hint="eastAsia" w:ascii="仿宋" w:hAnsi="仿宋" w:eastAsia="仿宋" w:cs="仿宋"/>
          <w:sz w:val="32"/>
        </w:rPr>
        <w:t>5.57</w:t>
      </w:r>
      <w:r>
        <w:rPr>
          <w:rFonts w:ascii="仿宋" w:hAnsi="仿宋" w:eastAsia="仿宋" w:cs="仿宋"/>
          <w:sz w:val="32"/>
        </w:rPr>
        <w:t>%；财政拨款支出总计</w:t>
      </w:r>
      <w:r>
        <w:rPr>
          <w:rFonts w:hint="eastAsia" w:ascii="仿宋" w:hAnsi="仿宋" w:eastAsia="仿宋" w:cs="仿宋"/>
          <w:sz w:val="32"/>
        </w:rPr>
        <w:t>1149.44</w:t>
      </w:r>
      <w:r>
        <w:rPr>
          <w:rFonts w:ascii="仿宋" w:hAnsi="仿宋" w:eastAsia="仿宋" w:cs="仿宋"/>
          <w:sz w:val="32"/>
        </w:rPr>
        <w:t>万元，比上年同期增加</w:t>
      </w:r>
      <w:r>
        <w:rPr>
          <w:rFonts w:hint="eastAsia" w:ascii="仿宋" w:hAnsi="仿宋" w:eastAsia="仿宋" w:cs="仿宋"/>
          <w:sz w:val="32"/>
        </w:rPr>
        <w:t>35.76</w:t>
      </w:r>
      <w:r>
        <w:rPr>
          <w:rFonts w:ascii="仿宋" w:hAnsi="仿宋" w:eastAsia="仿宋" w:cs="仿宋"/>
          <w:sz w:val="32"/>
        </w:rPr>
        <w:t>万元，增长</w:t>
      </w:r>
      <w:r>
        <w:rPr>
          <w:rFonts w:hint="eastAsia" w:ascii="仿宋" w:hAnsi="仿宋" w:eastAsia="仿宋" w:cs="仿宋"/>
          <w:sz w:val="32"/>
        </w:rPr>
        <w:t>3.21</w:t>
      </w:r>
      <w:r>
        <w:rPr>
          <w:rFonts w:ascii="仿宋" w:hAnsi="仿宋" w:eastAsia="仿宋" w:cs="仿宋"/>
          <w:sz w:val="32"/>
        </w:rPr>
        <w:t>%。主要原因：</w:t>
      </w:r>
      <w:r>
        <w:rPr>
          <w:rFonts w:hint="eastAsia" w:ascii="仿宋" w:hAnsi="仿宋" w:eastAsia="仿宋" w:cs="仿宋"/>
          <w:sz w:val="32"/>
        </w:rPr>
        <w:t>增人增资；协会活动支出增加；绩效考核奖励增加；新增关工委新办公点装修、办公设备购置经费。</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1126.24</w:t>
      </w:r>
      <w:r>
        <w:rPr>
          <w:rFonts w:ascii="仿宋" w:hAnsi="仿宋" w:eastAsia="仿宋" w:cs="仿宋"/>
          <w:sz w:val="32"/>
        </w:rPr>
        <w:t>万元，比上年同期</w:t>
      </w:r>
      <w:r>
        <w:rPr>
          <w:rFonts w:hint="eastAsia" w:ascii="仿宋" w:hAnsi="仿宋" w:eastAsia="仿宋" w:cs="仿宋"/>
          <w:sz w:val="32"/>
        </w:rPr>
        <w:t>减少63.73</w:t>
      </w:r>
      <w:r>
        <w:rPr>
          <w:rFonts w:ascii="仿宋" w:hAnsi="仿宋" w:eastAsia="仿宋" w:cs="仿宋"/>
          <w:sz w:val="32"/>
        </w:rPr>
        <w:t>万元，</w:t>
      </w:r>
      <w:r>
        <w:rPr>
          <w:rFonts w:hint="eastAsia" w:ascii="仿宋" w:hAnsi="仿宋" w:eastAsia="仿宋" w:cs="仿宋"/>
          <w:sz w:val="32"/>
        </w:rPr>
        <w:t>下降5.36</w:t>
      </w:r>
      <w:r>
        <w:rPr>
          <w:rFonts w:ascii="仿宋" w:hAnsi="仿宋" w:eastAsia="仿宋" w:cs="仿宋"/>
          <w:sz w:val="32"/>
        </w:rPr>
        <w:t>%；一般公共预算财政拨款支出总计</w:t>
      </w:r>
      <w:r>
        <w:rPr>
          <w:rFonts w:hint="eastAsia" w:ascii="仿宋" w:hAnsi="仿宋" w:eastAsia="仿宋" w:cs="仿宋"/>
          <w:sz w:val="32"/>
        </w:rPr>
        <w:t>1239.16</w:t>
      </w:r>
      <w:r>
        <w:rPr>
          <w:rFonts w:ascii="仿宋" w:hAnsi="仿宋" w:eastAsia="仿宋" w:cs="仿宋"/>
          <w:sz w:val="32"/>
        </w:rPr>
        <w:t>万元，比上年同期</w:t>
      </w:r>
      <w:r>
        <w:rPr>
          <w:rFonts w:hint="eastAsia" w:ascii="仿宋" w:hAnsi="仿宋" w:eastAsia="仿宋" w:cs="仿宋"/>
          <w:sz w:val="32"/>
        </w:rPr>
        <w:t>增加125.48</w:t>
      </w:r>
      <w:r>
        <w:rPr>
          <w:rFonts w:ascii="仿宋" w:hAnsi="仿宋" w:eastAsia="仿宋" w:cs="仿宋"/>
          <w:sz w:val="32"/>
        </w:rPr>
        <w:t>万元，</w:t>
      </w:r>
      <w:r>
        <w:rPr>
          <w:rFonts w:hint="eastAsia" w:ascii="仿宋" w:hAnsi="仿宋" w:eastAsia="仿宋" w:cs="仿宋"/>
          <w:sz w:val="32"/>
        </w:rPr>
        <w:t>增长11.27</w:t>
      </w:r>
      <w:r>
        <w:rPr>
          <w:rFonts w:ascii="仿宋" w:hAnsi="仿宋" w:eastAsia="仿宋" w:cs="仿宋"/>
          <w:sz w:val="32"/>
        </w:rPr>
        <w:t>%。：</w:t>
      </w:r>
      <w:r>
        <w:rPr>
          <w:rFonts w:hint="eastAsia" w:ascii="仿宋" w:hAnsi="仿宋" w:eastAsia="仿宋" w:cs="仿宋"/>
          <w:sz w:val="32"/>
        </w:rPr>
        <w:t>增人增资；新增关工委新办公点装修、办公设备购置经费。</w:t>
      </w: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仿宋" w:hAnsi="仿宋" w:eastAsia="仿宋" w:cs="仿宋"/>
          <w:sz w:val="32"/>
        </w:rPr>
      </w:pPr>
      <w:r>
        <w:rPr>
          <w:rFonts w:hint="eastAsia" w:ascii="仿宋" w:hAnsi="仿宋" w:eastAsia="仿宋" w:cs="仿宋"/>
          <w:sz w:val="32"/>
        </w:rPr>
        <w:t>2019 年度财政拨款支出1239.16万元，主要用于以下方面： 一般公共服务（类）支出1056.34万元，占85.25%；  教育（类）支出33.53万元，占2.71%；文化旅游体育与传媒支出10万元，占0.81%社会保障和就业（类）支出106.97万元，占8.63%；卫生健康（类）支出4.85万元，占0.39%；住房保障（类）支出27.47 万元，占2.22%。</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仿宋" w:hAnsi="仿宋" w:eastAsia="仿宋" w:cs="仿宋"/>
          <w:sz w:val="32"/>
        </w:rPr>
      </w:pPr>
      <w:r>
        <w:rPr>
          <w:rFonts w:hint="eastAsia" w:ascii="仿宋" w:hAnsi="仿宋" w:eastAsia="仿宋" w:cs="仿宋"/>
          <w:sz w:val="32"/>
        </w:rPr>
        <w:t>2019 年度财政拨款支出年初预算为 805.16万元，支出决算为1335.79万元，完成年初预算的 165.90%。</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639.38</w:t>
      </w:r>
      <w:r>
        <w:rPr>
          <w:rFonts w:ascii="仿宋" w:hAnsi="仿宋" w:eastAsia="仿宋" w:cs="仿宋"/>
          <w:sz w:val="32"/>
        </w:rPr>
        <w:t>万元，其中人员经费支出</w:t>
      </w:r>
      <w:r>
        <w:rPr>
          <w:rFonts w:hint="eastAsia" w:ascii="仿宋" w:hAnsi="仿宋" w:eastAsia="仿宋" w:cs="仿宋"/>
          <w:sz w:val="32"/>
        </w:rPr>
        <w:t>504.80</w:t>
      </w:r>
      <w:r>
        <w:rPr>
          <w:rFonts w:ascii="仿宋" w:hAnsi="仿宋" w:eastAsia="仿宋" w:cs="仿宋"/>
          <w:sz w:val="32"/>
        </w:rPr>
        <w:t>万元，主要包括：基本工资、津贴补贴、行政事业单位离退休费、医疗保障、住房公积金</w:t>
      </w:r>
      <w:r>
        <w:rPr>
          <w:rFonts w:hint="eastAsia" w:ascii="仿宋" w:hAnsi="仿宋" w:eastAsia="仿宋" w:cs="仿宋"/>
          <w:sz w:val="32"/>
        </w:rPr>
        <w:t>、其他对个人和家庭的补助</w:t>
      </w:r>
      <w:r>
        <w:rPr>
          <w:rFonts w:ascii="仿宋" w:hAnsi="仿宋" w:eastAsia="仿宋" w:cs="仿宋"/>
          <w:sz w:val="32"/>
        </w:rPr>
        <w:t>；公用经费支出</w:t>
      </w:r>
      <w:r>
        <w:rPr>
          <w:rFonts w:hint="eastAsia" w:ascii="仿宋" w:hAnsi="仿宋" w:eastAsia="仿宋" w:cs="仿宋"/>
          <w:sz w:val="32"/>
        </w:rPr>
        <w:t>134.58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主要包括：办公费、印刷费、</w:t>
      </w:r>
      <w:r>
        <w:rPr>
          <w:rFonts w:hint="eastAsia" w:ascii="仿宋" w:hAnsi="仿宋" w:eastAsia="仿宋" w:cs="仿宋"/>
          <w:color w:val="333333"/>
          <w:sz w:val="32"/>
          <w:szCs w:val="32"/>
          <w:shd w:val="clear" w:color="auto" w:fill="FFFFFF"/>
        </w:rPr>
        <w:t>水电费、邮电费、差旅费、维修（护）费、公务接待费、工会费、福利费、公务用车运行维护费以及其他费用</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仿宋" w:hAnsi="仿宋" w:eastAsia="仿宋" w:cs="仿宋"/>
          <w:sz w:val="32"/>
        </w:rPr>
        <w:t>益阳市委老干部局没有政府性基金收入，也没有政府性基金安排的支出，故本表无数据。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color w:val="FF0000"/>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15.93</w:t>
      </w:r>
      <w:r>
        <w:rPr>
          <w:rFonts w:ascii="仿宋" w:hAnsi="仿宋" w:eastAsia="仿宋" w:cs="仿宋"/>
          <w:sz w:val="32"/>
        </w:rPr>
        <w:t>万元，支出决算为</w:t>
      </w:r>
      <w:r>
        <w:rPr>
          <w:rFonts w:hint="eastAsia" w:ascii="仿宋" w:hAnsi="仿宋" w:eastAsia="仿宋" w:cs="仿宋"/>
          <w:sz w:val="32"/>
        </w:rPr>
        <w:t>14.77</w:t>
      </w:r>
      <w:r>
        <w:rPr>
          <w:rFonts w:ascii="仿宋" w:hAnsi="仿宋" w:eastAsia="仿宋" w:cs="仿宋"/>
          <w:sz w:val="32"/>
        </w:rPr>
        <w:t>万元，完成预算的</w:t>
      </w:r>
      <w:r>
        <w:rPr>
          <w:rFonts w:hint="eastAsia" w:ascii="仿宋" w:hAnsi="仿宋" w:eastAsia="仿宋" w:cs="仿宋"/>
          <w:sz w:val="32"/>
        </w:rPr>
        <w:t>170.75</w:t>
      </w:r>
      <w:r>
        <w:rPr>
          <w:rFonts w:ascii="仿宋" w:hAnsi="仿宋" w:eastAsia="仿宋" w:cs="仿宋"/>
          <w:sz w:val="32"/>
        </w:rPr>
        <w:t>%，其中：因公出国（境）费支出决算为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9.74</w:t>
      </w:r>
      <w:r>
        <w:rPr>
          <w:rFonts w:ascii="仿宋" w:hAnsi="仿宋" w:eastAsia="仿宋" w:cs="仿宋"/>
          <w:sz w:val="32"/>
        </w:rPr>
        <w:t>万元，完成预算的</w:t>
      </w:r>
      <w:r>
        <w:rPr>
          <w:rFonts w:hint="eastAsia" w:ascii="仿宋" w:hAnsi="仿宋" w:eastAsia="仿宋" w:cs="仿宋"/>
          <w:sz w:val="32"/>
        </w:rPr>
        <w:t>112.6</w:t>
      </w:r>
      <w:r>
        <w:rPr>
          <w:rFonts w:ascii="仿宋" w:hAnsi="仿宋" w:eastAsia="仿宋" w:cs="仿宋"/>
          <w:sz w:val="32"/>
        </w:rPr>
        <w:t xml:space="preserve">%；公务接待费支出决算为 </w:t>
      </w:r>
      <w:r>
        <w:rPr>
          <w:rFonts w:hint="eastAsia" w:ascii="仿宋" w:hAnsi="仿宋" w:eastAsia="仿宋" w:cs="仿宋"/>
          <w:sz w:val="32"/>
        </w:rPr>
        <w:t>5.03</w:t>
      </w:r>
      <w:r>
        <w:rPr>
          <w:rFonts w:ascii="仿宋" w:hAnsi="仿宋" w:eastAsia="仿宋" w:cs="仿宋"/>
          <w:sz w:val="32"/>
        </w:rPr>
        <w:t>万元，完成预算的</w:t>
      </w:r>
      <w:r>
        <w:rPr>
          <w:rFonts w:hint="eastAsia" w:ascii="仿宋" w:hAnsi="仿宋" w:eastAsia="仿宋" w:cs="仿宋"/>
          <w:sz w:val="32"/>
        </w:rPr>
        <w:t>58.15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年度“三公”经费支出决算数大于预算数的主要原因：</w:t>
      </w:r>
      <w:r>
        <w:rPr>
          <w:rFonts w:hint="eastAsia" w:ascii="仿宋" w:hAnsi="仿宋" w:eastAsia="仿宋" w:cs="仿宋"/>
          <w:sz w:val="32"/>
        </w:rPr>
        <w:t>因年初预算编制操作失误，少填列公务接待费7.35万元；一台关工委老领导用车运行维护费在我局开支。</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14.77</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9.74</w:t>
      </w:r>
      <w:r>
        <w:rPr>
          <w:rFonts w:ascii="仿宋" w:hAnsi="仿宋" w:eastAsia="仿宋" w:cs="仿宋"/>
          <w:sz w:val="32"/>
        </w:rPr>
        <w:t>万元，占</w:t>
      </w:r>
      <w:r>
        <w:rPr>
          <w:rFonts w:hint="eastAsia" w:ascii="仿宋" w:hAnsi="仿宋" w:eastAsia="仿宋" w:cs="仿宋"/>
          <w:sz w:val="32"/>
        </w:rPr>
        <w:t>65.94</w:t>
      </w:r>
      <w:r>
        <w:rPr>
          <w:rFonts w:ascii="仿宋" w:hAnsi="仿宋" w:eastAsia="仿宋" w:cs="仿宋"/>
          <w:sz w:val="32"/>
        </w:rPr>
        <w:t xml:space="preserve">%；公务接待费支出决算为 </w:t>
      </w:r>
      <w:r>
        <w:rPr>
          <w:rFonts w:hint="eastAsia" w:ascii="仿宋" w:hAnsi="仿宋" w:eastAsia="仿宋" w:cs="仿宋"/>
          <w:sz w:val="32"/>
        </w:rPr>
        <w:t>5.03</w:t>
      </w:r>
      <w:r>
        <w:rPr>
          <w:rFonts w:ascii="仿宋" w:hAnsi="仿宋" w:eastAsia="仿宋" w:cs="仿宋"/>
          <w:sz w:val="32"/>
        </w:rPr>
        <w:t>万元，占</w:t>
      </w:r>
      <w:r>
        <w:rPr>
          <w:rFonts w:hint="eastAsia" w:ascii="仿宋" w:hAnsi="仿宋" w:eastAsia="仿宋" w:cs="仿宋"/>
          <w:sz w:val="32"/>
        </w:rPr>
        <w:t>34.06</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上年</w:t>
      </w:r>
      <w:r>
        <w:rPr>
          <w:rFonts w:ascii="仿宋" w:hAnsi="仿宋" w:eastAsia="仿宋" w:cs="仿宋"/>
          <w:sz w:val="32"/>
        </w:rPr>
        <w:t>新购一辆公务用车</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人，因公出国（境）的开支内容</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2</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10.90</w:t>
      </w:r>
      <w:r>
        <w:rPr>
          <w:rFonts w:ascii="仿宋" w:hAnsi="仿宋" w:eastAsia="仿宋" w:cs="仿宋"/>
          <w:sz w:val="32"/>
        </w:rPr>
        <w:t>万元，主要用应急保障和老干部接送</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5.03</w:t>
      </w:r>
      <w:r>
        <w:rPr>
          <w:rFonts w:ascii="仿宋" w:hAnsi="仿宋" w:eastAsia="仿宋" w:cs="仿宋"/>
          <w:sz w:val="32"/>
        </w:rPr>
        <w:t>万元，国内公务接待</w:t>
      </w:r>
      <w:r>
        <w:rPr>
          <w:rFonts w:hint="eastAsia" w:ascii="仿宋" w:hAnsi="仿宋" w:eastAsia="仿宋" w:cs="仿宋"/>
          <w:sz w:val="32"/>
        </w:rPr>
        <w:t>72</w:t>
      </w:r>
      <w:r>
        <w:rPr>
          <w:rFonts w:ascii="仿宋" w:hAnsi="仿宋" w:eastAsia="仿宋" w:cs="仿宋"/>
          <w:sz w:val="32"/>
        </w:rPr>
        <w:t>批次，接待</w:t>
      </w:r>
      <w:r>
        <w:rPr>
          <w:rFonts w:hint="eastAsia" w:ascii="仿宋" w:hAnsi="仿宋" w:eastAsia="仿宋" w:cs="仿宋"/>
          <w:sz w:val="32"/>
        </w:rPr>
        <w:t>360</w:t>
      </w:r>
      <w:r>
        <w:rPr>
          <w:rFonts w:ascii="仿宋" w:hAnsi="仿宋" w:eastAsia="仿宋" w:cs="仿宋"/>
          <w:sz w:val="32"/>
        </w:rPr>
        <w:t>人。接待支出主要用于公务活动接待</w:t>
      </w:r>
      <w:r>
        <w:rPr>
          <w:rFonts w:hint="eastAsia" w:ascii="仿宋" w:hAnsi="仿宋" w:eastAsia="仿宋" w:cs="仿宋"/>
          <w:sz w:val="32"/>
        </w:rPr>
        <w:t>。</w:t>
      </w:r>
    </w:p>
    <w:p>
      <w:pPr>
        <w:jc w:val="left"/>
        <w:rPr>
          <w:rFonts w:ascii="黑体" w:hAnsi="黑体" w:eastAsia="黑体" w:cs="黑体"/>
          <w:sz w:val="32"/>
        </w:rPr>
      </w:pPr>
      <w:r>
        <w:rPr>
          <w:rFonts w:hint="eastAsia" w:ascii="黑体" w:hAnsi="黑体" w:eastAsia="黑体" w:cs="黑体"/>
          <w:sz w:val="32"/>
        </w:rPr>
        <w:t>　　</w:t>
      </w:r>
      <w:r>
        <w:rPr>
          <w:rFonts w:ascii="黑体" w:hAnsi="黑体" w:eastAsia="黑体" w:cs="黑体"/>
          <w:sz w:val="32"/>
        </w:rPr>
        <w:t>九、</w:t>
      </w:r>
      <w:r>
        <w:rPr>
          <w:rFonts w:hint="eastAsia" w:ascii="黑体" w:hAnsi="黑体" w:eastAsia="黑体" w:cs="黑体"/>
          <w:sz w:val="32"/>
        </w:rPr>
        <w:t>关于 2019 年度预算绩效情况说明</w:t>
      </w:r>
    </w:p>
    <w:p>
      <w:pPr>
        <w:ind w:firstLine="560" w:firstLineChars="200"/>
        <w:rPr>
          <w:rFonts w:ascii="仿宋" w:hAnsi="仿宋" w:eastAsia="仿宋" w:cs="仿宋"/>
          <w:color w:val="000000"/>
          <w:sz w:val="28"/>
          <w:szCs w:val="28"/>
        </w:rPr>
      </w:pPr>
      <w:r>
        <w:rPr>
          <w:rFonts w:hint="eastAsia" w:ascii="仿宋" w:hAnsi="仿宋" w:eastAsia="仿宋" w:cs="楷体"/>
          <w:color w:val="000000"/>
          <w:sz w:val="28"/>
          <w:szCs w:val="28"/>
        </w:rPr>
        <w:t>中共益阳市委老干部局未进行汇总预算自评。</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pStyle w:val="5"/>
        <w:widowControl/>
        <w:shd w:val="clear" w:color="auto" w:fill="FFFFFF"/>
        <w:spacing w:beforeAutospacing="0" w:afterAutospacing="0" w:line="600" w:lineRule="atLeast"/>
        <w:ind w:firstLine="627"/>
        <w:rPr>
          <w:rFonts w:ascii="楷体" w:hAnsi="楷体" w:eastAsia="楷体" w:cs="楷体"/>
          <w:sz w:val="32"/>
        </w:rPr>
      </w:pPr>
      <w:r>
        <w:rPr>
          <w:rFonts w:ascii="楷体" w:hAnsi="楷体" w:eastAsia="楷体" w:cs="楷体"/>
          <w:sz w:val="32"/>
        </w:rPr>
        <w:t>（一）预决算收支增减变化情况。</w:t>
      </w:r>
    </w:p>
    <w:p>
      <w:pPr>
        <w:pStyle w:val="5"/>
        <w:widowControl/>
        <w:shd w:val="clear" w:color="auto" w:fill="FFFFFF"/>
        <w:spacing w:beforeAutospacing="0" w:afterAutospacing="0" w:line="600" w:lineRule="atLeast"/>
        <w:ind w:firstLine="627"/>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rPr>
        <w:t>9年年初预算收入数805.16万元，部门决算收入1213.10万元；2019年年初预算支出数805.16万元，决算支出1332.26万元</w:t>
      </w:r>
      <w:r>
        <w:rPr>
          <w:rFonts w:hint="eastAsia" w:ascii="仿宋" w:hAnsi="仿宋" w:eastAsia="仿宋" w:cs="仿宋"/>
          <w:sz w:val="32"/>
        </w:rPr>
        <w:t>。</w:t>
      </w:r>
    </w:p>
    <w:p>
      <w:pPr>
        <w:ind w:firstLine="640" w:firstLineChars="20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ascii="仿宋" w:hAnsi="仿宋" w:eastAsia="仿宋"/>
          <w:sz w:val="28"/>
          <w:szCs w:val="28"/>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386.19</w:t>
      </w:r>
      <w:r>
        <w:rPr>
          <w:rFonts w:ascii="仿宋" w:hAnsi="仿宋" w:eastAsia="仿宋" w:cs="仿宋"/>
          <w:sz w:val="32"/>
        </w:rPr>
        <w:t>万元，较上年增加</w:t>
      </w:r>
      <w:r>
        <w:rPr>
          <w:rFonts w:hint="eastAsia" w:ascii="仿宋" w:hAnsi="仿宋" w:eastAsia="仿宋" w:cs="仿宋"/>
          <w:sz w:val="32"/>
        </w:rPr>
        <w:t>8.31</w:t>
      </w:r>
      <w:r>
        <w:rPr>
          <w:rFonts w:ascii="仿宋" w:hAnsi="仿宋" w:eastAsia="仿宋" w:cs="仿宋"/>
          <w:sz w:val="32"/>
        </w:rPr>
        <w:t>万元，增</w:t>
      </w:r>
      <w:r>
        <w:rPr>
          <w:rFonts w:hint="eastAsia" w:ascii="仿宋" w:hAnsi="仿宋" w:eastAsia="仿宋" w:cs="仿宋"/>
          <w:sz w:val="32"/>
        </w:rPr>
        <w:t>加9.75</w:t>
      </w:r>
      <w:r>
        <w:rPr>
          <w:rFonts w:ascii="仿宋" w:hAnsi="仿宋" w:eastAsia="仿宋" w:cs="仿宋"/>
          <w:sz w:val="32"/>
        </w:rPr>
        <w:t>%，主要原因是</w:t>
      </w:r>
      <w:r>
        <w:rPr>
          <w:rFonts w:hint="eastAsia" w:ascii="仿宋" w:hAnsi="仿宋" w:eastAsia="仿宋" w:cs="仿宋"/>
          <w:sz w:val="32"/>
        </w:rPr>
        <w:t>：新增“社区吹哨、部门报到”工作经费10多万元、</w:t>
      </w:r>
      <w:r>
        <w:rPr>
          <w:rFonts w:hint="eastAsia" w:ascii="仿宋" w:hAnsi="仿宋" w:eastAsia="仿宋"/>
          <w:sz w:val="28"/>
          <w:szCs w:val="28"/>
        </w:rPr>
        <w:t>付了上年度未付的社保，绩效奖励增加。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29.17</w:t>
      </w:r>
      <w:r>
        <w:rPr>
          <w:rFonts w:ascii="仿宋" w:hAnsi="仿宋" w:eastAsia="仿宋" w:cs="仿宋"/>
          <w:sz w:val="32"/>
        </w:rPr>
        <w:t>万元，其中，政府采购货物支出</w:t>
      </w:r>
      <w:r>
        <w:rPr>
          <w:rFonts w:hint="eastAsia" w:ascii="仿宋" w:hAnsi="仿宋" w:eastAsia="仿宋" w:cs="仿宋"/>
          <w:sz w:val="32"/>
        </w:rPr>
        <w:t>29.17</w:t>
      </w:r>
      <w:r>
        <w:rPr>
          <w:rFonts w:ascii="仿宋" w:hAnsi="仿宋" w:eastAsia="仿宋" w:cs="仿宋"/>
          <w:sz w:val="32"/>
        </w:rPr>
        <w:t>万元，</w:t>
      </w:r>
      <w:r>
        <w:rPr>
          <w:rFonts w:hint="eastAsia" w:ascii="仿宋" w:hAnsi="仿宋" w:eastAsia="仿宋" w:cs="仿宋"/>
          <w:sz w:val="32"/>
        </w:rPr>
        <w:t>占政府采购支出总额的100%，</w:t>
      </w:r>
      <w:r>
        <w:rPr>
          <w:rFonts w:ascii="仿宋" w:hAnsi="仿宋" w:eastAsia="仿宋" w:cs="仿宋"/>
          <w:sz w:val="32"/>
        </w:rPr>
        <w:t>政府采购工程支出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w:t>
      </w:r>
      <w:r>
        <w:rPr>
          <w:rFonts w:hint="eastAsia" w:ascii="仿宋" w:hAnsi="仿宋" w:eastAsia="仿宋" w:cs="仿宋"/>
          <w:sz w:val="32"/>
        </w:rPr>
        <w:t>9年1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日，本部门共有车辆2辆，其中，领导干部用车0辆、一般公务用车0辆、一般执法执勤用车0辆、特种专业技术用车0辆、其他用车2辆，其他用车主要是应急保障和老干部接送服务；单位价值</w:t>
      </w:r>
      <w:r>
        <w:rPr>
          <w:rFonts w:ascii="仿宋" w:hAnsi="仿宋" w:eastAsia="仿宋" w:cs="仿宋"/>
          <w:sz w:val="32"/>
        </w:rPr>
        <w:t>50</w:t>
      </w:r>
      <w:r>
        <w:rPr>
          <w:rFonts w:hint="eastAsia" w:ascii="仿宋" w:hAnsi="仿宋" w:eastAsia="仿宋" w:cs="仿宋"/>
          <w:sz w:val="32"/>
        </w:rPr>
        <w:t>万元以上通用设备0台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万正以上专用设备0台</w:t>
      </w:r>
      <w:r>
        <w:rPr>
          <w:rFonts w:ascii="仿宋" w:hAnsi="仿宋" w:eastAsia="仿宋" w:cs="仿宋"/>
          <w:sz w:val="32"/>
        </w:rPr>
        <w:t>(</w:t>
      </w:r>
      <w:r>
        <w:rPr>
          <w:rFonts w:hint="eastAsia" w:ascii="仿宋" w:hAnsi="仿宋" w:eastAsia="仿宋" w:cs="仿宋"/>
          <w:sz w:val="32"/>
        </w:rPr>
        <w:t>套）。</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2"/>
  </w:compat>
  <w:rsids>
    <w:rsidRoot w:val="00361F25"/>
    <w:rsid w:val="0000263B"/>
    <w:rsid w:val="00022F24"/>
    <w:rsid w:val="000278EB"/>
    <w:rsid w:val="000452DB"/>
    <w:rsid w:val="000561F6"/>
    <w:rsid w:val="000B56F7"/>
    <w:rsid w:val="000D4F9F"/>
    <w:rsid w:val="000E1DA1"/>
    <w:rsid w:val="000F3F32"/>
    <w:rsid w:val="0011267F"/>
    <w:rsid w:val="001352FB"/>
    <w:rsid w:val="00144D50"/>
    <w:rsid w:val="00225613"/>
    <w:rsid w:val="0025703E"/>
    <w:rsid w:val="002B22BB"/>
    <w:rsid w:val="002D5DD0"/>
    <w:rsid w:val="003443C4"/>
    <w:rsid w:val="00351474"/>
    <w:rsid w:val="00361F25"/>
    <w:rsid w:val="003638A2"/>
    <w:rsid w:val="00394AD0"/>
    <w:rsid w:val="003D223C"/>
    <w:rsid w:val="003E091A"/>
    <w:rsid w:val="003F2B5E"/>
    <w:rsid w:val="00455ABC"/>
    <w:rsid w:val="004606BE"/>
    <w:rsid w:val="004C174B"/>
    <w:rsid w:val="004E2F24"/>
    <w:rsid w:val="0056304A"/>
    <w:rsid w:val="005779A1"/>
    <w:rsid w:val="00582244"/>
    <w:rsid w:val="005D1E49"/>
    <w:rsid w:val="005E2E58"/>
    <w:rsid w:val="006123DC"/>
    <w:rsid w:val="006145AE"/>
    <w:rsid w:val="0065030C"/>
    <w:rsid w:val="006A3FF1"/>
    <w:rsid w:val="006B5791"/>
    <w:rsid w:val="006C3BB6"/>
    <w:rsid w:val="0070163B"/>
    <w:rsid w:val="00732CB0"/>
    <w:rsid w:val="007A03E7"/>
    <w:rsid w:val="007D2CE1"/>
    <w:rsid w:val="008040D2"/>
    <w:rsid w:val="00860A97"/>
    <w:rsid w:val="00880027"/>
    <w:rsid w:val="008E1C89"/>
    <w:rsid w:val="008F546E"/>
    <w:rsid w:val="00946F32"/>
    <w:rsid w:val="0096182A"/>
    <w:rsid w:val="009759C2"/>
    <w:rsid w:val="009B4C5A"/>
    <w:rsid w:val="00A806B4"/>
    <w:rsid w:val="00AA009D"/>
    <w:rsid w:val="00AB25EE"/>
    <w:rsid w:val="00AF64D3"/>
    <w:rsid w:val="00B10DA3"/>
    <w:rsid w:val="00B27C51"/>
    <w:rsid w:val="00B44575"/>
    <w:rsid w:val="00B97946"/>
    <w:rsid w:val="00BC2449"/>
    <w:rsid w:val="00BC6D21"/>
    <w:rsid w:val="00BD0975"/>
    <w:rsid w:val="00BF1AEA"/>
    <w:rsid w:val="00C03646"/>
    <w:rsid w:val="00C40EE2"/>
    <w:rsid w:val="00C41D6C"/>
    <w:rsid w:val="00C44F18"/>
    <w:rsid w:val="00C95446"/>
    <w:rsid w:val="00CE5B5C"/>
    <w:rsid w:val="00CF5A9D"/>
    <w:rsid w:val="00D108F2"/>
    <w:rsid w:val="00D21CDF"/>
    <w:rsid w:val="00D36804"/>
    <w:rsid w:val="00D83956"/>
    <w:rsid w:val="00D87A24"/>
    <w:rsid w:val="00DF6FA5"/>
    <w:rsid w:val="00E3081D"/>
    <w:rsid w:val="00E517E0"/>
    <w:rsid w:val="00E975C4"/>
    <w:rsid w:val="00EC2A23"/>
    <w:rsid w:val="00EC2AAC"/>
    <w:rsid w:val="00F322AD"/>
    <w:rsid w:val="00F35C36"/>
    <w:rsid w:val="00F44513"/>
    <w:rsid w:val="00F90EA9"/>
    <w:rsid w:val="00F90FB3"/>
    <w:rsid w:val="00F94200"/>
    <w:rsid w:val="00FA16B0"/>
    <w:rsid w:val="00FD388E"/>
    <w:rsid w:val="00FE3F03"/>
    <w:rsid w:val="013D4CF5"/>
    <w:rsid w:val="01907FF8"/>
    <w:rsid w:val="041B41ED"/>
    <w:rsid w:val="0559700D"/>
    <w:rsid w:val="062C1221"/>
    <w:rsid w:val="07486F7F"/>
    <w:rsid w:val="07686936"/>
    <w:rsid w:val="09ED610A"/>
    <w:rsid w:val="0BB8495B"/>
    <w:rsid w:val="0C622F30"/>
    <w:rsid w:val="0E903ECA"/>
    <w:rsid w:val="0ED40272"/>
    <w:rsid w:val="11F30042"/>
    <w:rsid w:val="12BD03B5"/>
    <w:rsid w:val="133962BC"/>
    <w:rsid w:val="135360E5"/>
    <w:rsid w:val="135861B8"/>
    <w:rsid w:val="13CE384C"/>
    <w:rsid w:val="13DE33A5"/>
    <w:rsid w:val="14941206"/>
    <w:rsid w:val="14F94EE6"/>
    <w:rsid w:val="16972659"/>
    <w:rsid w:val="18CE556B"/>
    <w:rsid w:val="197C18EA"/>
    <w:rsid w:val="197D1CA8"/>
    <w:rsid w:val="1DC11AF2"/>
    <w:rsid w:val="1FD0029C"/>
    <w:rsid w:val="24DA1C43"/>
    <w:rsid w:val="25D03576"/>
    <w:rsid w:val="26054B7D"/>
    <w:rsid w:val="34086AE8"/>
    <w:rsid w:val="34D02830"/>
    <w:rsid w:val="35607436"/>
    <w:rsid w:val="357F06D8"/>
    <w:rsid w:val="377A2353"/>
    <w:rsid w:val="387F704A"/>
    <w:rsid w:val="3F4D0F58"/>
    <w:rsid w:val="417D273F"/>
    <w:rsid w:val="42900B60"/>
    <w:rsid w:val="45FC527D"/>
    <w:rsid w:val="469D252C"/>
    <w:rsid w:val="473D5E87"/>
    <w:rsid w:val="49EB38C6"/>
    <w:rsid w:val="4C2243CC"/>
    <w:rsid w:val="4E37142F"/>
    <w:rsid w:val="50946461"/>
    <w:rsid w:val="535721CC"/>
    <w:rsid w:val="56B84656"/>
    <w:rsid w:val="572D7DD3"/>
    <w:rsid w:val="585F1A2D"/>
    <w:rsid w:val="59643036"/>
    <w:rsid w:val="5A144593"/>
    <w:rsid w:val="5B3F7079"/>
    <w:rsid w:val="5B710595"/>
    <w:rsid w:val="5F3C0CE5"/>
    <w:rsid w:val="5FF759F3"/>
    <w:rsid w:val="609E7D46"/>
    <w:rsid w:val="6123177B"/>
    <w:rsid w:val="61B13D67"/>
    <w:rsid w:val="63104140"/>
    <w:rsid w:val="634B2A0A"/>
    <w:rsid w:val="64C96779"/>
    <w:rsid w:val="66E85F07"/>
    <w:rsid w:val="67042F1B"/>
    <w:rsid w:val="693B4327"/>
    <w:rsid w:val="6AFD75F9"/>
    <w:rsid w:val="6D8624EF"/>
    <w:rsid w:val="70F215B8"/>
    <w:rsid w:val="71432795"/>
    <w:rsid w:val="71DD14BA"/>
    <w:rsid w:val="725C1C5A"/>
    <w:rsid w:val="75823E91"/>
    <w:rsid w:val="779B3A25"/>
    <w:rsid w:val="7C5C4A28"/>
    <w:rsid w:val="7F4B7029"/>
    <w:rsid w:val="7F74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Autospacing="1" w:afterAutospacing="1"/>
      <w:jc w:val="left"/>
    </w:pPr>
    <w:rPr>
      <w:rFonts w:cs="Times New Roman"/>
      <w:kern w:val="0"/>
      <w:sz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830</Words>
  <Characters>4731</Characters>
  <Lines>39</Lines>
  <Paragraphs>11</Paragraphs>
  <TotalTime>131</TotalTime>
  <ScaleCrop>false</ScaleCrop>
  <LinksUpToDate>false</LinksUpToDate>
  <CharactersWithSpaces>5550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2020-09-18T09:14:00Z</dcterms:created>
  <dc:creator>Administrator</dc:creator>
  <cp:lastModifiedBy>YZR</cp:lastModifiedBy>
  <dcterms:modified xsi:type="dcterms:W3CDTF">2020-09-29T10:50:29Z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