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益阳市公路管理局势</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益阳市公路管理局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益阳市公路管理局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bookmarkStart w:id="1" w:name="_GoBack"/>
      <w:bookmarkEnd w:id="1"/>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center"/>
        <w:rPr>
          <w:rFonts w:ascii="宋体" w:hAnsi="宋体" w:eastAsia="宋体" w:cs="宋体"/>
          <w:sz w:val="44"/>
        </w:rPr>
      </w:pPr>
    </w:p>
    <w:p>
      <w:pPr>
        <w:jc w:val="center"/>
        <w:rPr>
          <w:rFonts w:ascii="楷体_GB2312" w:hAnsi="楷体_GB2312" w:eastAsia="楷体_GB2312" w:cs="楷体_GB2312"/>
          <w:sz w:val="44"/>
        </w:rPr>
      </w:pPr>
      <w:r>
        <w:rPr>
          <w:rFonts w:hint="eastAsia" w:ascii="楷体_GB2312" w:hAnsi="楷体_GB2312" w:eastAsia="楷体_GB2312" w:cs="楷体_GB2312"/>
          <w:sz w:val="44"/>
        </w:rPr>
        <w:t>第一部分 市公路管理局概况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中心的主要职能：</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（一）依据全市交通发展规划编制全市公路发展规划</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（二）负责辖区内国省干线公路的建设、养护和管理，具体实施国省干线公路的路面大中修、灾毁重建、灾害防治、安全保障、危桥改造等养护工程；</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（三）负责市立项的公路建设项目的工程设计、施工和质量安全</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（四）负责益桃一级公路超限超载治理，负责查处重大或跨区域路政案件，负责公路路政与超限超载治理的执法监督；</w:t>
      </w:r>
    </w:p>
    <w:p>
      <w:pP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（五）组织、指导公路重大灾害应急抢险；负责全市公路养护工作的指导、监督、检查与考核工作；</w:t>
      </w:r>
    </w:p>
    <w:p>
      <w:pPr>
        <w:rPr>
          <w:rFonts w:ascii="楷体_GB2312" w:hAnsi="楷体_GB2312" w:eastAsia="楷体_GB2312" w:cs="楷体_GB2312"/>
          <w:sz w:val="32"/>
          <w:szCs w:val="32"/>
        </w:rPr>
      </w:pPr>
      <w:r>
        <w:rPr>
          <w:rFonts w:hint="eastAsia" w:ascii="楷体_GB2312" w:hAnsi="楷体_GB2312" w:eastAsia="楷体_GB2312" w:cs="楷体_GB2312"/>
          <w:color w:val="000000"/>
          <w:sz w:val="32"/>
          <w:szCs w:val="32"/>
        </w:rPr>
        <w:t xml:space="preserve">(六) 负责引导、推广公路建设、管理、养护的新技术、新工艺、新材料、新设备的应用。 </w:t>
      </w:r>
    </w:p>
    <w:p>
      <w:pPr>
        <w:ind w:left="795" w:hanging="795"/>
        <w:rPr>
          <w:rFonts w:ascii="黑体" w:hAnsi="黑体" w:eastAsia="黑体" w:cs="黑体"/>
          <w:sz w:val="32"/>
        </w:rPr>
      </w:pPr>
      <w:r>
        <w:rPr>
          <w:rFonts w:hint="eastAsia" w:ascii="黑体" w:hAnsi="黑体" w:eastAsia="黑体" w:cs="黑体"/>
          <w:sz w:val="32"/>
        </w:rPr>
        <w:t>二、机构设置</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color w:val="000000"/>
          <w:sz w:val="32"/>
          <w:szCs w:val="32"/>
        </w:rPr>
        <w:t>市公路管理局机关内设办公室、政策法规科、计划科、统计信息科、工程科、干线公路建设管理科、干线公路养护机务科、农村公路建设科、农村公路养护科、质量监督科、安全监督科、科技教育科、财务科、审计科、人事科、离退休人员管理科16个职能科室。</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hint="eastAsia" w:ascii="楷体_GB2312" w:hAnsi="楷体_GB2312" w:eastAsia="楷体_GB2312" w:cs="楷体_GB2312"/>
          <w:sz w:val="32"/>
        </w:rPr>
        <w:t>从决算单位构成看，益阳市公路管理局部门决算包括：益阳市公路管理局部门决算本级决算、下属单位益阳市公路应急抢险中心决算、下属单位益阳市公路工程试验检测中心决算、下属单位益阳市公路路政执法支队决算、下属单位益阳市车辆超限超载谢林港检测站决算。</w:t>
      </w:r>
    </w:p>
    <w:p>
      <w:pPr>
        <w:ind w:firstLine="640"/>
        <w:rPr>
          <w:rFonts w:ascii="仿宋" w:hAnsi="仿宋" w:eastAsia="仿宋" w:cs="仿宋"/>
          <w:sz w:val="32"/>
        </w:rPr>
      </w:pP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仿宋_GB2312" w:hAnsi="仿宋_GB2312" w:eastAsia="仿宋_GB2312" w:cs="仿宋_GB2312"/>
                <w:sz w:val="32"/>
                <w:szCs w:val="32"/>
              </w:rPr>
            </w:pPr>
            <w:r>
              <w:rPr>
                <w:rFonts w:hint="eastAsia" w:ascii="楷体_GB2312" w:hAnsi="楷体_GB2312" w:eastAsia="楷体_GB2312" w:cs="楷体_GB2312"/>
                <w:sz w:val="32"/>
                <w:szCs w:val="32"/>
              </w:rPr>
              <w:t>益阳市公路管理局（本部）</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cs="仿宋"/>
                <w:b/>
                <w:sz w:val="28"/>
              </w:rPr>
            </w:pPr>
            <w:r>
              <w:rPr>
                <w:rFonts w:hint="eastAsia" w:ascii="仿宋" w:hAnsi="仿宋" w:eastAsia="仿宋" w:cs="仿宋"/>
                <w:b/>
                <w:sz w:val="28"/>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楷体_GB2312" w:hAnsi="楷体_GB2312" w:eastAsia="楷体_GB2312" w:cs="楷体_GB2312"/>
                <w:sz w:val="32"/>
                <w:szCs w:val="32"/>
              </w:rPr>
            </w:pPr>
            <w:r>
              <w:rPr>
                <w:rFonts w:hint="eastAsia" w:ascii="楷体_GB2312" w:hAnsi="楷体_GB2312" w:eastAsia="楷体_GB2312" w:cs="楷体_GB2312"/>
                <w:sz w:val="32"/>
              </w:rPr>
              <w:t>益阳市公路工程试验检测中心</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cs="仿宋"/>
                <w:b/>
                <w:sz w:val="28"/>
              </w:rPr>
            </w:pPr>
            <w:r>
              <w:rPr>
                <w:rFonts w:hint="eastAsia" w:ascii="仿宋" w:hAnsi="仿宋" w:eastAsia="仿宋" w:cs="仿宋"/>
                <w:b/>
                <w:sz w:val="28"/>
              </w:rPr>
              <w:t>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楷体_GB2312" w:hAnsi="楷体_GB2312" w:eastAsia="楷体_GB2312" w:cs="楷体_GB2312"/>
                <w:sz w:val="32"/>
                <w:szCs w:val="32"/>
              </w:rPr>
            </w:pPr>
            <w:r>
              <w:rPr>
                <w:rFonts w:hint="eastAsia" w:ascii="楷体_GB2312" w:hAnsi="楷体_GB2312" w:eastAsia="楷体_GB2312" w:cs="楷体_GB2312"/>
                <w:sz w:val="32"/>
              </w:rPr>
              <w:t>益阳市公路应急抢险中心</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cs="仿宋"/>
                <w:b/>
                <w:sz w:val="28"/>
              </w:rPr>
            </w:pPr>
            <w:r>
              <w:rPr>
                <w:rFonts w:hint="eastAsia" w:ascii="仿宋" w:hAnsi="仿宋" w:eastAsia="仿宋" w:cs="仿宋"/>
                <w:b/>
                <w:sz w:val="28"/>
              </w:rPr>
              <w:t>4</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楷体_GB2312" w:hAnsi="楷体_GB2312" w:eastAsia="楷体_GB2312" w:cs="楷体_GB2312"/>
                <w:sz w:val="32"/>
                <w:szCs w:val="32"/>
              </w:rPr>
            </w:pPr>
            <w:r>
              <w:rPr>
                <w:rFonts w:hint="eastAsia" w:ascii="楷体_GB2312" w:hAnsi="楷体_GB2312" w:eastAsia="楷体_GB2312" w:cs="楷体_GB2312"/>
                <w:sz w:val="32"/>
              </w:rPr>
              <w:t>益阳市公路路政执法支队</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cs="仿宋"/>
                <w:b/>
                <w:sz w:val="28"/>
              </w:rPr>
            </w:pPr>
            <w:r>
              <w:rPr>
                <w:rFonts w:hint="eastAsia" w:ascii="仿宋" w:hAnsi="仿宋" w:eastAsia="仿宋" w:cs="仿宋"/>
                <w:b/>
                <w:sz w:val="28"/>
              </w:rPr>
              <w:t>5</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楷体_GB2312" w:hAnsi="楷体_GB2312" w:eastAsia="楷体_GB2312" w:cs="楷体_GB2312"/>
                <w:sz w:val="32"/>
              </w:rPr>
            </w:pPr>
            <w:r>
              <w:rPr>
                <w:rFonts w:hint="eastAsia" w:ascii="楷体_GB2312" w:hAnsi="楷体_GB2312" w:eastAsia="楷体_GB2312" w:cs="楷体_GB2312"/>
                <w:sz w:val="32"/>
              </w:rPr>
              <w:t>益阳市车辆超限超载谢林港检测站</w:t>
            </w:r>
          </w:p>
        </w:tc>
      </w:tr>
    </w:tbl>
    <w:p>
      <w:pPr>
        <w:rPr>
          <w:rFonts w:ascii="仿宋" w:hAnsi="仿宋" w:eastAsia="仿宋" w:cs="仿宋"/>
          <w:sz w:val="32"/>
        </w:rPr>
      </w:pPr>
    </w:p>
    <w:p>
      <w:pPr>
        <w:jc w:val="center"/>
        <w:rPr>
          <w:rFonts w:ascii="楷体_GB2312" w:hAnsi="楷体_GB2312" w:eastAsia="楷体_GB2312" w:cs="楷体_GB2312"/>
          <w:sz w:val="44"/>
          <w:szCs w:val="44"/>
        </w:rPr>
      </w:pPr>
      <w:r>
        <w:rPr>
          <w:rFonts w:hint="eastAsia" w:ascii="楷体_GB2312" w:hAnsi="楷体_GB2312" w:eastAsia="楷体_GB2312" w:cs="楷体_GB2312"/>
          <w:sz w:val="44"/>
          <w:szCs w:val="44"/>
        </w:rPr>
        <w:t>第二部分 益阳市公路管理局2019 年度部门决算表</w:t>
      </w:r>
    </w:p>
    <w:p>
      <w:pPr>
        <w:ind w:firstLine="640"/>
        <w:rPr>
          <w:rFonts w:ascii="楷体_GB2312" w:hAnsi="楷体_GB2312" w:eastAsia="楷体_GB2312" w:cs="楷体_GB2312"/>
          <w:sz w:val="44"/>
          <w:szCs w:val="44"/>
        </w:rPr>
      </w:pPr>
    </w:p>
    <w:p>
      <w:pPr>
        <w:jc w:val="left"/>
        <w:rPr>
          <w:rFonts w:ascii="楷体_GB2312" w:hAnsi="楷体_GB2312" w:eastAsia="楷体_GB2312" w:cs="楷体_GB2312"/>
          <w:sz w:val="32"/>
        </w:rPr>
      </w:pPr>
      <w:r>
        <w:rPr>
          <w:rFonts w:hint="eastAsia" w:ascii="楷体_GB2312" w:hAnsi="楷体_GB2312" w:eastAsia="楷体_GB2312" w:cs="楷体_GB2312"/>
          <w:sz w:val="32"/>
        </w:rPr>
        <w:t>表1：收入支出决算总表</w:t>
      </w:r>
    </w:p>
    <w:p>
      <w:pPr>
        <w:jc w:val="left"/>
        <w:rPr>
          <w:rFonts w:ascii="楷体_GB2312" w:hAnsi="楷体_GB2312" w:eastAsia="楷体_GB2312" w:cs="楷体_GB2312"/>
          <w:sz w:val="32"/>
        </w:rPr>
      </w:pPr>
      <w:r>
        <w:rPr>
          <w:rFonts w:hint="eastAsia" w:ascii="楷体_GB2312" w:hAnsi="楷体_GB2312" w:eastAsia="楷体_GB2312" w:cs="楷体_GB2312"/>
          <w:sz w:val="32"/>
        </w:rPr>
        <w:t>表2：收入决算表</w:t>
      </w:r>
    </w:p>
    <w:p>
      <w:pPr>
        <w:jc w:val="left"/>
        <w:rPr>
          <w:rFonts w:ascii="楷体_GB2312" w:hAnsi="楷体_GB2312" w:eastAsia="楷体_GB2312" w:cs="楷体_GB2312"/>
          <w:sz w:val="32"/>
        </w:rPr>
      </w:pPr>
      <w:r>
        <w:rPr>
          <w:rFonts w:hint="eastAsia" w:ascii="楷体_GB2312" w:hAnsi="楷体_GB2312" w:eastAsia="楷体_GB2312" w:cs="楷体_GB2312"/>
          <w:sz w:val="32"/>
        </w:rPr>
        <w:t>表3：支出决算表</w:t>
      </w:r>
    </w:p>
    <w:p>
      <w:pPr>
        <w:jc w:val="left"/>
        <w:rPr>
          <w:rFonts w:ascii="楷体_GB2312" w:hAnsi="楷体_GB2312" w:eastAsia="楷体_GB2312" w:cs="楷体_GB2312"/>
          <w:sz w:val="32"/>
        </w:rPr>
      </w:pPr>
      <w:r>
        <w:rPr>
          <w:rFonts w:hint="eastAsia" w:ascii="楷体_GB2312" w:hAnsi="楷体_GB2312" w:eastAsia="楷体_GB2312" w:cs="楷体_GB2312"/>
          <w:sz w:val="32"/>
        </w:rPr>
        <w:t>表4：财政拨款收入支出决算总表</w:t>
      </w:r>
    </w:p>
    <w:p>
      <w:pPr>
        <w:jc w:val="left"/>
        <w:rPr>
          <w:rFonts w:ascii="楷体_GB2312" w:hAnsi="楷体_GB2312" w:eastAsia="楷体_GB2312" w:cs="楷体_GB2312"/>
          <w:sz w:val="32"/>
        </w:rPr>
      </w:pPr>
      <w:r>
        <w:rPr>
          <w:rFonts w:hint="eastAsia" w:ascii="楷体_GB2312" w:hAnsi="楷体_GB2312" w:eastAsia="楷体_GB2312" w:cs="楷体_GB2312"/>
          <w:sz w:val="32"/>
        </w:rPr>
        <w:t>表5：一般公共预算财政拨款支出决算表</w:t>
      </w:r>
    </w:p>
    <w:p>
      <w:pPr>
        <w:jc w:val="left"/>
        <w:rPr>
          <w:rFonts w:ascii="楷体_GB2312" w:hAnsi="楷体_GB2312" w:eastAsia="楷体_GB2312" w:cs="楷体_GB2312"/>
          <w:sz w:val="32"/>
        </w:rPr>
      </w:pPr>
      <w:r>
        <w:rPr>
          <w:rFonts w:hint="eastAsia" w:ascii="楷体_GB2312" w:hAnsi="楷体_GB2312" w:eastAsia="楷体_GB2312" w:cs="楷体_GB2312"/>
          <w:sz w:val="32"/>
        </w:rPr>
        <w:t>表6：一般公共预算财政拨款基本支出决算表</w:t>
      </w:r>
    </w:p>
    <w:p>
      <w:pPr>
        <w:jc w:val="left"/>
        <w:rPr>
          <w:rFonts w:ascii="楷体_GB2312" w:hAnsi="楷体_GB2312" w:eastAsia="楷体_GB2312" w:cs="楷体_GB2312"/>
          <w:sz w:val="32"/>
        </w:rPr>
      </w:pPr>
      <w:r>
        <w:rPr>
          <w:rFonts w:hint="eastAsia" w:ascii="楷体_GB2312" w:hAnsi="楷体_GB2312" w:eastAsia="楷体_GB2312" w:cs="楷体_GB2312"/>
          <w:sz w:val="32"/>
        </w:rPr>
        <w:t>表7：一般公共预算财政拨款“三公”经费支出决算表</w:t>
      </w:r>
    </w:p>
    <w:p>
      <w:pPr>
        <w:jc w:val="left"/>
        <w:rPr>
          <w:rFonts w:ascii="楷体_GB2312" w:hAnsi="楷体_GB2312" w:eastAsia="楷体_GB2312" w:cs="楷体_GB2312"/>
          <w:sz w:val="32"/>
        </w:rPr>
      </w:pPr>
      <w:r>
        <w:rPr>
          <w:rFonts w:hint="eastAsia" w:ascii="楷体_GB2312" w:hAnsi="楷体_GB2312" w:eastAsia="楷体_GB2312" w:cs="楷体_GB2312"/>
          <w:sz w:val="32"/>
        </w:rPr>
        <w:t>表8：政府性基金预算财政拨款收入支出决算表</w:t>
      </w:r>
    </w:p>
    <w:p>
      <w:pPr>
        <w:jc w:val="left"/>
        <w:rPr>
          <w:rFonts w:ascii="仿宋" w:hAnsi="仿宋" w:eastAsia="仿宋" w:cs="仿宋"/>
          <w:sz w:val="32"/>
        </w:rPr>
      </w:pPr>
    </w:p>
    <w:p>
      <w:pPr>
        <w:jc w:val="center"/>
        <w:rPr>
          <w:rFonts w:ascii="楷体_GB2312" w:hAnsi="楷体_GB2312" w:eastAsia="楷体_GB2312" w:cs="楷体_GB2312"/>
          <w:sz w:val="44"/>
        </w:rPr>
      </w:pPr>
      <w:r>
        <w:rPr>
          <w:rFonts w:hint="eastAsia" w:ascii="楷体_GB2312" w:hAnsi="楷体_GB2312" w:eastAsia="楷体_GB2312" w:cs="楷体_GB2312"/>
          <w:sz w:val="44"/>
        </w:rPr>
        <w:t>第三部分</w:t>
      </w:r>
    </w:p>
    <w:p>
      <w:pPr>
        <w:jc w:val="center"/>
        <w:rPr>
          <w:rFonts w:ascii="楷体_GB2312" w:hAnsi="楷体_GB2312" w:eastAsia="楷体_GB2312" w:cs="楷体_GB2312"/>
          <w:sz w:val="44"/>
        </w:rPr>
      </w:pPr>
      <w:r>
        <w:rPr>
          <w:rFonts w:hint="eastAsia" w:ascii="楷体_GB2312" w:hAnsi="楷体_GB2312" w:eastAsia="楷体_GB2312" w:cs="楷体_GB2312"/>
          <w:sz w:val="44"/>
        </w:rPr>
        <w:t>益阳市公路管理局2019 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益阳市公路管理局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楷体_GB2312" w:hAnsi="楷体_GB2312" w:eastAsia="楷体_GB2312" w:cs="楷体_GB2312"/>
          <w:sz w:val="32"/>
        </w:rPr>
        <w:t>益阳市公路管理局2019年度收入总计27752.37万元，比上年同期增加4680.14万元，增长20.28%；支出总计24656.57万元，比上年同期增加5056.25万元，增长25.80%。主要原因：今年公路养护投入22933.35万元，比去年增加5555.98万元；支出为21125.47万元，比去年增加6081.04万元。</w:t>
      </w:r>
    </w:p>
    <w:p>
      <w:pPr>
        <w:ind w:firstLine="640"/>
        <w:jc w:val="left"/>
        <w:rPr>
          <w:rFonts w:ascii="仿宋" w:hAnsi="仿宋" w:eastAsia="仿宋" w:cs="仿宋"/>
          <w:sz w:val="32"/>
        </w:rPr>
      </w:pPr>
      <w:r>
        <w:rPr>
          <w:rFonts w:hint="eastAsia" w:ascii="仿宋" w:hAnsi="仿宋" w:eastAsia="仿宋" w:cs="仿宋"/>
          <w:sz w:val="32"/>
        </w:rPr>
        <w:t xml:space="preserve"> </w:t>
      </w: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益阳市公路管理局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2019年度收入合计 27752.37万元，其中：财政拨款收入4492.32万元，占 16.20%；其他收入22907.41万元，占82.54%；上级补助收入52.64万元，占0.19%；事业收入300万元，占1.07%。</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益阳市公路管理局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2019年度支出合计24656.57万元，其中：基本支出4004.13万元，占 16.24%；项目支出20652.44万元，占83.76%。</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益阳市公路管理局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楷体_GB2312" w:hAnsi="楷体_GB2312" w:eastAsia="楷体_GB2312" w:cs="楷体_GB2312"/>
          <w:sz w:val="32"/>
        </w:rPr>
      </w:pPr>
      <w:r>
        <w:rPr>
          <w:rFonts w:ascii="仿宋" w:hAnsi="仿宋" w:eastAsia="仿宋" w:cs="仿宋"/>
          <w:sz w:val="32"/>
        </w:rPr>
        <w:t xml:space="preserve"> </w:t>
      </w:r>
      <w:r>
        <w:rPr>
          <w:rFonts w:hint="eastAsia" w:ascii="楷体_GB2312" w:hAnsi="楷体_GB2312" w:eastAsia="楷体_GB2312" w:cs="楷体_GB2312"/>
          <w:sz w:val="32"/>
        </w:rPr>
        <w:t>2019 年度财政拨款收入总计4492.32万元，比上年增加960.94万元，增长27.21%；财政拨款支出总计3205.14万元，减少285.41万元，下降8.18%。主要原因：一、收入增加的原因主要是市公路应急抢险中心在编制2019年度预算时，误将“财政专户非税收入”填入了“纳入财政管理的非税收入”，从而造成财政拨款收入增加1326万元，剔除误填收入后，实际上本年收入比上年收入下降，其原因主要是人数减少所致。二、支出减少的原因一是本年实有人数比去年减少，致使人员支出比去年下降；二是加强管理，严格控制开支，致使公用经费比去年下降。</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益阳市公路管理局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_GB2312" w:hAnsi="楷体_GB2312" w:eastAsia="楷体_GB2312" w:cs="楷体_GB2312"/>
          <w:sz w:val="32"/>
        </w:rPr>
      </w:pPr>
      <w:r>
        <w:rPr>
          <w:rFonts w:hint="eastAsia" w:ascii="楷体_GB2312" w:hAnsi="楷体_GB2312" w:eastAsia="楷体_GB2312" w:cs="楷体_GB2312"/>
          <w:sz w:val="32"/>
        </w:rPr>
        <w:t>（一）一般公共预算财政拨款收入支出决算总体情况。</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2019 年度一般公共预算财政拨款收入总计4492.32万元，比上年同期增长960.94万元，增长27.21%；一般公共预算财政拨款支出总计3205.14万元，比上年同期减少285.41万元，下降8.18%。主要原因：一、收入增加的原因主要是市公路应急抢险中心在编制2019年度预算时，误将“财政专户非税收入”填入了“纳入财政管理的非税收入”，从而造成财政拨款收入增加1326万元，剔除误填收入后，实际上本年收入比上年收入下降，其原因主要是人数减少所致。二、支出减少的原因一是本年实有人数比去年减少，致使人员支出比去年下降；二是加强管理，严格控制开支，致使公用经费比去年下降。</w:t>
      </w:r>
    </w:p>
    <w:p>
      <w:pPr>
        <w:ind w:firstLine="640"/>
        <w:jc w:val="left"/>
        <w:rPr>
          <w:rFonts w:ascii="楷体_GB2312" w:hAnsi="楷体_GB2312" w:eastAsia="楷体_GB2312" w:cs="楷体_GB2312"/>
          <w:sz w:val="32"/>
        </w:rPr>
      </w:pPr>
    </w:p>
    <w:p>
      <w:pPr>
        <w:ind w:firstLine="320"/>
        <w:jc w:val="left"/>
        <w:rPr>
          <w:rFonts w:ascii="楷体_GB2312" w:hAnsi="楷体_GB2312" w:eastAsia="楷体_GB2312" w:cs="楷体_GB2312"/>
          <w:sz w:val="32"/>
        </w:rPr>
      </w:pPr>
      <w:r>
        <w:rPr>
          <w:rFonts w:hint="eastAsia" w:ascii="楷体_GB2312" w:hAnsi="楷体_GB2312" w:eastAsia="楷体_GB2312" w:cs="楷体_GB2312"/>
          <w:sz w:val="32"/>
        </w:rPr>
        <w:t>（二）一般公共预算财政拨款支出决算构成情况。</w:t>
      </w:r>
    </w:p>
    <w:p>
      <w:pPr>
        <w:ind w:firstLine="320"/>
        <w:jc w:val="left"/>
        <w:rPr>
          <w:rFonts w:ascii="楷体_GB2312" w:hAnsi="楷体_GB2312" w:eastAsia="楷体_GB2312" w:cs="楷体_GB2312"/>
          <w:sz w:val="32"/>
        </w:rPr>
      </w:pPr>
      <w:r>
        <w:rPr>
          <w:rFonts w:hint="eastAsia" w:ascii="楷体_GB2312" w:hAnsi="楷体_GB2312" w:eastAsia="楷体_GB2312" w:cs="楷体_GB2312"/>
          <w:sz w:val="32"/>
        </w:rPr>
        <w:t>2019 年度财政拨款支出3205.14万元，主要用于以下方面： 交通运输（类）支出2533.34万元，占 79.04%；  教育（类）支出25.94万元，占 0.81%； 社会保障和就业（类）支出254.34万元，占7.94%； 住房保障（类）支出 119.37 万元，占 3.72%;  卫生健康（类）支出271.19，占8.46%， 农林水（类）支出0.96 万元，占0.03%。</w:t>
      </w:r>
    </w:p>
    <w:p>
      <w:pPr>
        <w:jc w:val="left"/>
        <w:rPr>
          <w:rFonts w:ascii="楷体_GB2312" w:hAnsi="楷体_GB2312" w:eastAsia="楷体_GB2312" w:cs="楷体_GB2312"/>
          <w:sz w:val="32"/>
        </w:rPr>
      </w:pPr>
      <w:r>
        <w:rPr>
          <w:rFonts w:hint="eastAsia" w:ascii="楷体_GB2312" w:hAnsi="楷体_GB2312" w:eastAsia="楷体_GB2312" w:cs="楷体_GB2312"/>
          <w:sz w:val="32"/>
        </w:rPr>
        <w:t xml:space="preserve">  </w:t>
      </w:r>
    </w:p>
    <w:p>
      <w:pPr>
        <w:ind w:firstLine="320"/>
        <w:jc w:val="left"/>
        <w:rPr>
          <w:rFonts w:ascii="楷体_GB2312" w:hAnsi="楷体_GB2312" w:eastAsia="楷体_GB2312" w:cs="楷体_GB2312"/>
          <w:sz w:val="32"/>
        </w:rPr>
      </w:pPr>
      <w:r>
        <w:rPr>
          <w:rFonts w:hint="eastAsia" w:ascii="楷体_GB2312" w:hAnsi="楷体_GB2312" w:eastAsia="楷体_GB2312" w:cs="楷体_GB2312"/>
          <w:sz w:val="32"/>
        </w:rPr>
        <w:t>（三）一般公共预算财政拨款支出决算具体情况。</w:t>
      </w:r>
    </w:p>
    <w:p>
      <w:pPr>
        <w:ind w:firstLine="320"/>
        <w:jc w:val="left"/>
        <w:rPr>
          <w:rFonts w:ascii="楷体_GB2312" w:hAnsi="楷体_GB2312" w:eastAsia="楷体_GB2312" w:cs="楷体_GB2312"/>
          <w:sz w:val="32"/>
        </w:rPr>
      </w:pPr>
      <w:r>
        <w:rPr>
          <w:rFonts w:hint="eastAsia" w:ascii="楷体_GB2312" w:hAnsi="楷体_GB2312" w:eastAsia="楷体_GB2312" w:cs="楷体_GB2312"/>
          <w:sz w:val="32"/>
        </w:rPr>
        <w:t>2019 年度财政拨款支出年初预算为 3868.79万元，支出决算为3205.14万元，完成年初预算的 82.85%。其中：</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1.卫生健康支出（类）行政事业单位医疗（款）行政单位医疗（项）财政拨款支出年初预算为 134.06万元，支出决算为 125.68万元，主要用于按参公管理职工的基本医疗保险缴费。</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2. 卫生健康支出（类）行政事业单位医疗（款）公务员医疗补助（项）财政拨款支出年初预算为 114.73万元，支出决算为 114.73万元，主要用于参公人员的公务医疗补助缴费。</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3. 卫生健康支出（类）行政事业单位医疗（款）事业单位医疗（项）财政拨款支出年初预算为 83.71万元，支出决算为 30.78万元，主要用于事业单位人员的医疗缴费。</w:t>
      </w:r>
    </w:p>
    <w:p>
      <w:pPr>
        <w:ind w:firstLine="640" w:firstLineChars="200"/>
        <w:jc w:val="left"/>
        <w:rPr>
          <w:rFonts w:ascii="楷体_GB2312" w:hAnsi="楷体_GB2312" w:eastAsia="楷体_GB2312" w:cs="楷体_GB2312"/>
          <w:sz w:val="32"/>
        </w:rPr>
      </w:pPr>
      <w:r>
        <w:rPr>
          <w:rFonts w:hint="eastAsia" w:ascii="楷体_GB2312" w:hAnsi="楷体_GB2312" w:eastAsia="楷体_GB2312" w:cs="楷体_GB2312"/>
          <w:sz w:val="32"/>
        </w:rPr>
        <w:t>4. 交通运输支出（类）公路水路运输（款）行政运行（项）财政拨款支出年初预算为 3006.55万元，支出决算为 2210.01万元，主要用于单位行政运行支出。</w:t>
      </w:r>
    </w:p>
    <w:p>
      <w:pPr>
        <w:ind w:firstLine="640" w:firstLineChars="200"/>
        <w:jc w:val="left"/>
        <w:rPr>
          <w:rFonts w:ascii="楷体_GB2312" w:hAnsi="楷体_GB2312" w:eastAsia="楷体_GB2312" w:cs="楷体_GB2312"/>
          <w:sz w:val="32"/>
        </w:rPr>
      </w:pPr>
      <w:r>
        <w:rPr>
          <w:rFonts w:hint="eastAsia" w:ascii="楷体_GB2312" w:hAnsi="楷体_GB2312" w:eastAsia="楷体_GB2312" w:cs="楷体_GB2312"/>
          <w:sz w:val="32"/>
        </w:rPr>
        <w:t>5. 交通运输支出（类）公路水路运输（款）公路养护（项）财政拨款支出年初预算为 73.82万元，支出决算为 62.05万元，主要用于</w:t>
      </w:r>
      <w:r>
        <w:rPr>
          <w:rFonts w:hint="eastAsia" w:ascii="楷体_GB2312" w:hAnsi="楷体_GB2312" w:eastAsia="楷体_GB2312" w:cs="楷体_GB2312"/>
          <w:sz w:val="32"/>
          <w:lang w:eastAsia="zh-CN"/>
        </w:rPr>
        <w:t>办公费等</w:t>
      </w:r>
      <w:r>
        <w:rPr>
          <w:rFonts w:hint="eastAsia" w:ascii="楷体_GB2312" w:hAnsi="楷体_GB2312" w:eastAsia="楷体_GB2312" w:cs="楷体_GB2312"/>
          <w:color w:val="000000" w:themeColor="text1"/>
          <w:sz w:val="32"/>
          <w:lang w:eastAsia="zh-CN"/>
        </w:rPr>
        <w:t>日常公用支出</w:t>
      </w:r>
      <w:r>
        <w:rPr>
          <w:rFonts w:hint="eastAsia" w:ascii="楷体_GB2312" w:hAnsi="楷体_GB2312" w:eastAsia="楷体_GB2312" w:cs="楷体_GB2312"/>
          <w:sz w:val="32"/>
        </w:rPr>
        <w:t>。</w:t>
      </w:r>
    </w:p>
    <w:p>
      <w:pPr>
        <w:ind w:firstLine="640"/>
        <w:jc w:val="left"/>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rPr>
        <w:t>6. 交通运输支出（类）公路水路运输（款）公路运输管理（项）财政拨款支出年初预算为 213.35万元，支出决算为 218.94万元，主要用</w:t>
      </w:r>
      <w:r>
        <w:rPr>
          <w:rFonts w:hint="eastAsia" w:ascii="楷体_GB2312" w:hAnsi="楷体_GB2312" w:eastAsia="楷体_GB2312" w:cs="楷体_GB2312"/>
          <w:sz w:val="32"/>
          <w:lang w:eastAsia="zh-CN"/>
        </w:rPr>
        <w:t>工资津贴及日常公用支出。</w:t>
      </w:r>
    </w:p>
    <w:p>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7. 交通运输支出（类）成品油价格改革对交通运输的补贴（款）成品油价格补贴其他支出（项）财政拨款支出年初预算为 17.34万元，支出决算为 17.34万元，主要用于</w:t>
      </w:r>
      <w:r>
        <w:rPr>
          <w:rFonts w:hint="eastAsia" w:ascii="楷体_GB2312" w:hAnsi="楷体_GB2312" w:eastAsia="楷体_GB2312" w:cs="楷体_GB2312"/>
          <w:color w:val="000000" w:themeColor="text1"/>
          <w:sz w:val="32"/>
          <w:lang w:eastAsia="zh-CN"/>
        </w:rPr>
        <w:t>办公费、电费等商品服务支出</w:t>
      </w:r>
      <w:r>
        <w:rPr>
          <w:rFonts w:hint="eastAsia" w:ascii="楷体_GB2312" w:hAnsi="楷体_GB2312" w:eastAsia="楷体_GB2312" w:cs="楷体_GB2312"/>
          <w:color w:val="000000" w:themeColor="text1"/>
          <w:sz w:val="32"/>
        </w:rPr>
        <w:t>。</w:t>
      </w:r>
    </w:p>
    <w:p>
      <w:pPr>
        <w:ind w:firstLine="640"/>
        <w:jc w:val="left"/>
        <w:rPr>
          <w:rFonts w:ascii="楷体_GB2312" w:hAnsi="楷体_GB2312" w:eastAsia="楷体_GB2312" w:cs="楷体_GB2312"/>
          <w:color w:val="000000" w:themeColor="text1"/>
          <w:sz w:val="32"/>
        </w:rPr>
      </w:pPr>
      <w:r>
        <w:rPr>
          <w:rFonts w:hint="eastAsia" w:ascii="楷体_GB2312" w:hAnsi="楷体_GB2312" w:eastAsia="楷体_GB2312" w:cs="楷体_GB2312"/>
          <w:sz w:val="32"/>
        </w:rPr>
        <w:t>8交通运输支出（类）公路水路运输（款）其他公路水路运输（项）财政拨款支出年初预算为 0万元，支出决算为 25万元，主要用</w:t>
      </w:r>
      <w:r>
        <w:rPr>
          <w:rFonts w:hint="eastAsia" w:ascii="楷体_GB2312" w:hAnsi="楷体_GB2312" w:eastAsia="楷体_GB2312" w:cs="楷体_GB2312"/>
          <w:color w:val="000000" w:themeColor="text1"/>
          <w:sz w:val="32"/>
        </w:rPr>
        <w:t>于交通运输发展目标考核奖和公路养护专项支出。</w:t>
      </w:r>
    </w:p>
    <w:p>
      <w:pPr>
        <w:ind w:firstLine="640" w:firstLineChars="200"/>
        <w:jc w:val="left"/>
        <w:rPr>
          <w:rFonts w:ascii="楷体_GB2312" w:hAnsi="楷体_GB2312" w:eastAsia="楷体_GB2312" w:cs="楷体_GB2312"/>
          <w:sz w:val="32"/>
        </w:rPr>
      </w:pPr>
      <w:r>
        <w:rPr>
          <w:rFonts w:hint="eastAsia" w:ascii="楷体_GB2312" w:hAnsi="楷体_GB2312" w:eastAsia="楷体_GB2312" w:cs="楷体_GB2312"/>
          <w:sz w:val="32"/>
        </w:rPr>
        <w:t>9. 住房保障支出（类）住房改革支出（款）住房公积金（项）财政拨款支出年初预算为 225.23万元，支出决算为 119.37万元，主要用于缴纳住房公积金。</w:t>
      </w:r>
    </w:p>
    <w:p>
      <w:pPr>
        <w:ind w:firstLine="320" w:firstLineChars="100"/>
        <w:jc w:val="left"/>
        <w:rPr>
          <w:rFonts w:ascii="楷体_GB2312" w:hAnsi="楷体_GB2312" w:eastAsia="楷体_GB2312" w:cs="楷体_GB2312"/>
          <w:sz w:val="32"/>
        </w:rPr>
      </w:pPr>
      <w:r>
        <w:rPr>
          <w:rFonts w:hint="eastAsia" w:ascii="楷体_GB2312" w:hAnsi="楷体_GB2312" w:eastAsia="楷体_GB2312" w:cs="楷体_GB2312"/>
          <w:sz w:val="32"/>
        </w:rPr>
        <w:t xml:space="preserve"> 10. 社会保障和就业支出（类）行政事业单位离退休</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（款）归口管理的行政单位离退休（项）财政拨款支出年初预算为 0万元，支出决算为 124.61万元，主要用于离退休人员津贴等费用。</w:t>
      </w:r>
    </w:p>
    <w:p>
      <w:pPr>
        <w:ind w:firstLine="320" w:firstLineChars="100"/>
        <w:jc w:val="left"/>
        <w:rPr>
          <w:rFonts w:ascii="楷体_GB2312" w:hAnsi="楷体_GB2312" w:eastAsia="楷体_GB2312" w:cs="楷体_GB2312"/>
          <w:sz w:val="32"/>
        </w:rPr>
      </w:pPr>
      <w:r>
        <w:rPr>
          <w:rFonts w:hint="eastAsia" w:ascii="楷体_GB2312" w:hAnsi="楷体_GB2312" w:eastAsia="楷体_GB2312" w:cs="楷体_GB2312"/>
          <w:sz w:val="32"/>
        </w:rPr>
        <w:t xml:space="preserve"> 11. 社会保障和就业支出（类）抚恤（款）死亡抚恤（项）财政拨款支出年初预算为 0万元，支出决算为 129.73万元，主要是退休人员死亡抚恤。</w:t>
      </w:r>
    </w:p>
    <w:p>
      <w:pPr>
        <w:ind w:firstLine="320" w:firstLineChars="100"/>
        <w:jc w:val="left"/>
        <w:rPr>
          <w:rFonts w:ascii="楷体_GB2312" w:hAnsi="楷体_GB2312" w:eastAsia="楷体_GB2312" w:cs="楷体_GB2312"/>
          <w:color w:val="FF0000"/>
          <w:sz w:val="32"/>
        </w:rPr>
      </w:pPr>
      <w:r>
        <w:rPr>
          <w:rFonts w:hint="eastAsia" w:ascii="楷体_GB2312" w:hAnsi="楷体_GB2312" w:eastAsia="楷体_GB2312" w:cs="楷体_GB2312"/>
          <w:sz w:val="32"/>
        </w:rPr>
        <w:t>12.教育支出（类）其他教育支出（款）其他教育支出（项）财政拨款支出年初预算为 0万元，支出决算为 25.94万元，主要用于</w:t>
      </w:r>
      <w:r>
        <w:rPr>
          <w:rFonts w:hint="eastAsia" w:ascii="楷体_GB2312" w:hAnsi="楷体_GB2312" w:eastAsia="楷体_GB2312" w:cs="楷体_GB2312"/>
          <w:color w:val="000000" w:themeColor="text1"/>
          <w:sz w:val="32"/>
        </w:rPr>
        <w:t>其他商品服务支出。</w:t>
      </w:r>
    </w:p>
    <w:p>
      <w:pPr>
        <w:jc w:val="left"/>
        <w:rPr>
          <w:rFonts w:ascii="仿宋" w:hAnsi="仿宋" w:eastAsia="仿宋" w:cs="仿宋"/>
          <w:b/>
          <w:color w:val="FF0000"/>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益阳市公路管理局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2019年度一般公共预算财政拨款基本支出3161.84万元，其中人员经费支出 2752.89万元，主要包括：基本工资、津贴补贴、奖金、养老保险缴费、医疗保险缴费、住房公积金、离退休费、抚恤金；公用经费支出 408.95万元。主要包括：办公费、印刷费、水电费、差旅费、维修费、工会经费、福利费、公务接待费、公务用车运行维护费。</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益阳市公路管理局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楷体_GB2312" w:hAnsi="楷体_GB2312" w:eastAsia="楷体_GB2312" w:cs="楷体_GB2312"/>
          <w:sz w:val="32"/>
        </w:rPr>
      </w:pPr>
      <w:r>
        <w:rPr>
          <w:rFonts w:hint="eastAsia" w:ascii="楷体_GB2312" w:hAnsi="楷体_GB2312" w:eastAsia="楷体_GB2312" w:cs="楷体_GB2312"/>
          <w:color w:val="000000" w:themeColor="text1"/>
          <w:sz w:val="32"/>
        </w:rPr>
        <w:t>我</w:t>
      </w:r>
      <w:r>
        <w:rPr>
          <w:rFonts w:hint="eastAsia" w:ascii="楷体_GB2312" w:hAnsi="楷体_GB2312" w:eastAsia="楷体_GB2312" w:cs="楷体_GB2312"/>
          <w:sz w:val="32"/>
        </w:rPr>
        <w:t>单位无政府性基金预算财政拨款收入支出。</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益阳市公路管理局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（一）“三公”经费财政拨款支出决算总体情况说明。</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2019 年度“三公”经费财政拨款支出预算为</w:t>
      </w:r>
      <w:r>
        <w:rPr>
          <w:rFonts w:hint="eastAsia" w:ascii="楷体_GB2312" w:hAnsi="楷体_GB2312" w:eastAsia="楷体_GB2312" w:cs="楷体_GB2312"/>
          <w:sz w:val="32"/>
          <w:lang w:val="en-US" w:eastAsia="zh-CN"/>
        </w:rPr>
        <w:t>62</w:t>
      </w:r>
      <w:r>
        <w:rPr>
          <w:rFonts w:hint="eastAsia" w:ascii="楷体_GB2312" w:hAnsi="楷体_GB2312" w:eastAsia="楷体_GB2312" w:cs="楷体_GB2312"/>
          <w:sz w:val="32"/>
        </w:rPr>
        <w:t>万元，支出决算为41.98万元，完成预算的</w:t>
      </w:r>
      <w:r>
        <w:rPr>
          <w:rFonts w:hint="eastAsia" w:ascii="楷体_GB2312" w:hAnsi="楷体_GB2312" w:eastAsia="楷体_GB2312" w:cs="楷体_GB2312"/>
          <w:sz w:val="32"/>
          <w:lang w:val="en-US" w:eastAsia="zh-CN"/>
        </w:rPr>
        <w:t>67</w:t>
      </w:r>
      <w:r>
        <w:rPr>
          <w:rFonts w:hint="eastAsia" w:ascii="楷体_GB2312" w:hAnsi="楷体_GB2312" w:eastAsia="楷体_GB2312" w:cs="楷体_GB2312"/>
          <w:sz w:val="32"/>
        </w:rPr>
        <w:t>.</w:t>
      </w:r>
      <w:r>
        <w:rPr>
          <w:rFonts w:hint="eastAsia" w:ascii="楷体_GB2312" w:hAnsi="楷体_GB2312" w:eastAsia="楷体_GB2312" w:cs="楷体_GB2312"/>
          <w:sz w:val="32"/>
          <w:lang w:val="en-US" w:eastAsia="zh-CN"/>
        </w:rPr>
        <w:t>71</w:t>
      </w:r>
      <w:r>
        <w:rPr>
          <w:rFonts w:hint="eastAsia" w:ascii="楷体_GB2312" w:hAnsi="楷体_GB2312" w:eastAsia="楷体_GB2312" w:cs="楷体_GB2312"/>
          <w:sz w:val="32"/>
        </w:rPr>
        <w:t>%，其中：因公出国（境）费支出决算和预算均为 0万元；公务用车购置及运行费支出决算为35.13万元，完成预算</w:t>
      </w:r>
      <w:r>
        <w:rPr>
          <w:rFonts w:hint="eastAsia" w:ascii="楷体_GB2312" w:hAnsi="楷体_GB2312" w:eastAsia="楷体_GB2312" w:cs="楷体_GB2312"/>
          <w:color w:val="auto"/>
          <w:sz w:val="32"/>
        </w:rPr>
        <w:t>的</w:t>
      </w:r>
      <w:r>
        <w:rPr>
          <w:rFonts w:hint="eastAsia" w:ascii="楷体_GB2312" w:hAnsi="楷体_GB2312" w:eastAsia="楷体_GB2312" w:cs="楷体_GB2312"/>
          <w:color w:val="auto"/>
          <w:sz w:val="32"/>
          <w:lang w:val="en-US" w:eastAsia="zh-CN"/>
        </w:rPr>
        <w:t>83</w:t>
      </w:r>
      <w:r>
        <w:rPr>
          <w:rFonts w:hint="eastAsia" w:ascii="楷体_GB2312" w:hAnsi="楷体_GB2312" w:eastAsia="楷体_GB2312" w:cs="楷体_GB2312"/>
          <w:color w:val="auto"/>
          <w:sz w:val="32"/>
        </w:rPr>
        <w:t>.</w:t>
      </w:r>
      <w:r>
        <w:rPr>
          <w:rFonts w:hint="eastAsia" w:ascii="楷体_GB2312" w:hAnsi="楷体_GB2312" w:eastAsia="楷体_GB2312" w:cs="楷体_GB2312"/>
          <w:color w:val="auto"/>
          <w:sz w:val="32"/>
          <w:lang w:val="en-US" w:eastAsia="zh-CN"/>
        </w:rPr>
        <w:t>64</w:t>
      </w:r>
      <w:r>
        <w:rPr>
          <w:rFonts w:hint="eastAsia" w:ascii="楷体_GB2312" w:hAnsi="楷体_GB2312" w:eastAsia="楷体_GB2312" w:cs="楷体_GB2312"/>
          <w:color w:val="auto"/>
          <w:sz w:val="32"/>
        </w:rPr>
        <w:t>%；公务接待费支出决算为 6.86万元，完成预算的</w:t>
      </w:r>
      <w:r>
        <w:rPr>
          <w:rFonts w:hint="eastAsia" w:ascii="楷体_GB2312" w:hAnsi="楷体_GB2312" w:eastAsia="楷体_GB2312" w:cs="楷体_GB2312"/>
          <w:color w:val="auto"/>
          <w:sz w:val="32"/>
          <w:lang w:val="en-US" w:eastAsia="zh-CN"/>
        </w:rPr>
        <w:t>34</w:t>
      </w:r>
      <w:r>
        <w:rPr>
          <w:rFonts w:hint="eastAsia" w:ascii="楷体_GB2312" w:hAnsi="楷体_GB2312" w:eastAsia="楷体_GB2312" w:cs="楷体_GB2312"/>
          <w:color w:val="auto"/>
          <w:sz w:val="32"/>
        </w:rPr>
        <w:t>.</w:t>
      </w:r>
      <w:r>
        <w:rPr>
          <w:rFonts w:hint="eastAsia" w:ascii="楷体_GB2312" w:hAnsi="楷体_GB2312" w:eastAsia="楷体_GB2312" w:cs="楷体_GB2312"/>
          <w:color w:val="auto"/>
          <w:sz w:val="32"/>
          <w:lang w:val="en-US" w:eastAsia="zh-CN"/>
        </w:rPr>
        <w:t>30</w:t>
      </w:r>
      <w:r>
        <w:rPr>
          <w:rFonts w:hint="eastAsia" w:ascii="楷体_GB2312" w:hAnsi="楷体_GB2312" w:eastAsia="楷体_GB2312" w:cs="楷体_GB2312"/>
          <w:color w:val="auto"/>
          <w:sz w:val="32"/>
        </w:rPr>
        <w:t>%</w:t>
      </w:r>
      <w:r>
        <w:rPr>
          <w:rFonts w:hint="eastAsia" w:ascii="楷体_GB2312" w:hAnsi="楷体_GB2312" w:eastAsia="楷体_GB2312" w:cs="楷体_GB2312"/>
          <w:sz w:val="32"/>
        </w:rPr>
        <w:t>。2019 年度“三公”经费支出决算数小于预算数的主要原因是严格控制业务招待费接待标准，减少接待人数和次数</w:t>
      </w:r>
      <w:r>
        <w:rPr>
          <w:rFonts w:hint="eastAsia" w:ascii="楷体_GB2312" w:hAnsi="楷体_GB2312" w:eastAsia="楷体_GB2312" w:cs="楷体_GB2312"/>
          <w:sz w:val="32"/>
          <w:lang w:val="en-US" w:eastAsia="zh-CN"/>
        </w:rPr>
        <w:t>;公务用车预算6台，实际使用5台，因此公务用车运行维护费比预算小</w:t>
      </w:r>
      <w:r>
        <w:rPr>
          <w:rFonts w:hint="eastAsia" w:ascii="楷体_GB2312" w:hAnsi="楷体_GB2312" w:eastAsia="楷体_GB2312" w:cs="楷体_GB2312"/>
          <w:sz w:val="32"/>
        </w:rPr>
        <w:t>。</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（二）“三公”经费财政拨款支出决算具体情况说明。</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 xml:space="preserve"> 2019 年度“三公”经费财政拨款支出决算为41.98万元，其中：财政拨款因公出国（境）费支出决算为 0万元；公务用车购置及运行费支出决算为35.13万元，占83.68%；公务接待费支出决算为6.86万元，占16.34%。2019 年度“三公”经费支出决算数小于上年决算数的主要原因：一是去年有5.16万元因公出国（境）费，今年无财政拨款因公出国（境）费；二是控制公务接待致使公务接待费比去年减少5.17万元；三是今年公务用车多一台，这是公务用车运行维护费比去年多8.32万元的主要原因。</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1、因公出国（境）情况说明</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因公出国（境）团组数0个，0人，因公出国（境）的开支内容：无</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2、公务用车购置及运行经费情况说明</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公务用车购置支出：0万元，购置数0台，保有量5台</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运行经费支出：35.13万元，主要用于国省干线公路管养、离退休人员管理及其他日常公务使用。</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3、公务接待情况说明</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公务接待支出6.86万元，国内公务接待129批次，接待1085人。接待支出主要用于接待省厅、省局领导及区县（市）交通系统人员来我局的公务活动。</w:t>
      </w:r>
    </w:p>
    <w:p>
      <w:pPr>
        <w:ind w:firstLine="640"/>
        <w:jc w:val="left"/>
        <w:rPr>
          <w:rFonts w:ascii="楷体_GB2312" w:hAnsi="楷体_GB2312" w:eastAsia="楷体_GB2312" w:cs="楷体_GB2312"/>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_GB2312" w:hAnsi="楷体_GB2312" w:eastAsia="楷体_GB2312" w:cs="楷体_GB2312"/>
          <w:sz w:val="32"/>
        </w:rPr>
      </w:pPr>
      <w:r>
        <w:rPr>
          <w:rFonts w:hint="eastAsia" w:ascii="楷体" w:hAnsi="楷体" w:eastAsia="楷体" w:cs="楷体"/>
          <w:sz w:val="32"/>
        </w:rPr>
        <w:t>（</w:t>
      </w:r>
      <w:r>
        <w:rPr>
          <w:rFonts w:hint="eastAsia" w:ascii="楷体_GB2312" w:hAnsi="楷体_GB2312" w:eastAsia="楷体_GB2312" w:cs="楷体_GB2312"/>
          <w:sz w:val="32"/>
        </w:rPr>
        <w:t>一）绩效管理工作开展情况 。</w:t>
      </w:r>
    </w:p>
    <w:p>
      <w:pPr>
        <w:ind w:firstLine="640"/>
        <w:jc w:val="left"/>
        <w:rPr>
          <w:rFonts w:ascii="楷体_GB2312" w:hAnsi="楷体_GB2312" w:eastAsia="楷体_GB2312" w:cs="楷体_GB2312"/>
          <w:sz w:val="32"/>
          <w:szCs w:val="32"/>
        </w:rPr>
      </w:pPr>
      <w:r>
        <w:rPr>
          <w:rFonts w:hint="eastAsia" w:ascii="楷体_GB2312" w:hAnsi="楷体_GB2312" w:eastAsia="楷体_GB2312" w:cs="楷体_GB2312"/>
          <w:sz w:val="32"/>
        </w:rPr>
        <w:t>根据预算绩效管理要求，</w:t>
      </w:r>
      <w:r>
        <w:rPr>
          <w:rFonts w:hint="eastAsia" w:ascii="楷体_GB2312" w:hAnsi="楷体_GB2312" w:eastAsia="楷体_GB2312" w:cs="楷体_GB2312"/>
          <w:sz w:val="32"/>
          <w:szCs w:val="32"/>
        </w:rPr>
        <w:t>为进一步规范财政资金管理，牢固树立预算绩效理念，强化部门支出责任，提高财政资金使用效益，我局按照《益阳市财政局关于开展2019年度预算绩效自评工作的通知》（益财绩〔2020〕70号）的部署，对2019年度部门整体支出绩效进行了自评，自评分92.3分，自评结论为“优秀”。</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（二）部门决算中项目绩效自评结果 。</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rPr>
        <w:t>我单位2019年度无纳入绩效自评的单个项目支出。2019年我单位</w:t>
      </w:r>
      <w:r>
        <w:rPr>
          <w:rFonts w:hint="eastAsia" w:ascii="楷体_GB2312" w:hAnsi="楷体_GB2312" w:eastAsia="楷体_GB2312" w:cs="楷体_GB2312"/>
          <w:bCs/>
          <w:sz w:val="32"/>
          <w:szCs w:val="32"/>
        </w:rPr>
        <w:t>项目绩效总目标完成情况:我市国省干线公路大中修项目全</w:t>
      </w:r>
      <w:r>
        <w:rPr>
          <w:rFonts w:hint="eastAsia" w:ascii="楷体_GB2312" w:hAnsi="楷体_GB2312" w:eastAsia="楷体_GB2312" w:cs="楷体_GB2312"/>
          <w:sz w:val="32"/>
          <w:szCs w:val="32"/>
        </w:rPr>
        <w:t>面完工，市委市政府确定的干线公路建设目标任务，农村公路建管养齐头并进助力农村人居环境整治，超载超限治理、路域环境整治、脱贫攻坚等，均超过完成目标任务。</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 xml:space="preserve">（三）以部门为主体开展的重点绩效评价 </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《益阳市公路管理局2019年部门整体支出绩效评价报告》见“第五部分 附件”。</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（四）预算绩效情况的说明。</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在益阳市财政局组织绩效管理专家对2019年度市直单位绩效自评报告的评审中，我单位被评为“优秀”。</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（一）预决算收支增减变化情况。</w:t>
      </w:r>
    </w:p>
    <w:p>
      <w:pPr>
        <w:snapToGrid w:val="0"/>
        <w:spacing w:line="600" w:lineRule="exact"/>
        <w:ind w:firstLine="640" w:firstLineChars="200"/>
        <w:rPr>
          <w:rFonts w:ascii="楷体_GB2312" w:hAnsi="楷体_GB2312" w:eastAsia="楷体_GB2312" w:cs="楷体_GB2312"/>
          <w:sz w:val="32"/>
        </w:rPr>
      </w:pPr>
      <w:r>
        <w:rPr>
          <w:rFonts w:hint="eastAsia" w:ascii="楷体_GB2312" w:hAnsi="楷体_GB2312" w:eastAsia="楷体_GB2312" w:cs="楷体_GB2312"/>
          <w:sz w:val="32"/>
          <w:szCs w:val="32"/>
        </w:rPr>
        <w:t>１、我单位2019年度年初预算收入5637.54万元，决算收入27752.37万元，较上年决算收入增加4680.14万元，</w:t>
      </w:r>
      <w:r>
        <w:rPr>
          <w:rFonts w:hint="eastAsia" w:ascii="楷体_GB2312" w:hAnsi="楷体_GB2312" w:eastAsia="楷体_GB2312" w:cs="楷体_GB2312"/>
          <w:sz w:val="32"/>
        </w:rPr>
        <w:t>主要原因：年初预算收入未包含已纳入省级预算的公路养护专项收入是本年决算收入比年初预算大的主要原因；本年养护工程投资比去年大是本年决算收入比去年大的主要原因。</w:t>
      </w:r>
    </w:p>
    <w:p>
      <w:pPr>
        <w:snapToGrid w:val="0"/>
        <w:spacing w:line="600" w:lineRule="exact"/>
        <w:ind w:firstLine="640" w:firstLineChars="200"/>
        <w:rPr>
          <w:rFonts w:ascii="楷体_GB2312" w:hAnsi="楷体_GB2312" w:eastAsia="楷体_GB2312" w:cs="楷体_GB2312"/>
          <w:sz w:val="32"/>
        </w:rPr>
      </w:pPr>
      <w:r>
        <w:rPr>
          <w:rFonts w:hint="eastAsia" w:ascii="楷体_GB2312" w:hAnsi="楷体_GB2312" w:eastAsia="楷体_GB2312" w:cs="楷体_GB2312"/>
          <w:sz w:val="32"/>
          <w:szCs w:val="32"/>
        </w:rPr>
        <w:t>2、我单位2019年度年初预算支出5637.54万元，决算支出24656.57万元，较上年决算支出增加5056.25万元，</w:t>
      </w:r>
      <w:r>
        <w:rPr>
          <w:rFonts w:hint="eastAsia" w:ascii="楷体_GB2312" w:hAnsi="楷体_GB2312" w:eastAsia="楷体_GB2312" w:cs="楷体_GB2312"/>
          <w:sz w:val="32"/>
        </w:rPr>
        <w:t>主要原因：年初预算支出未包含已纳入省级预算的公路养护专项支出是本年决算支出比年初预算大的主要原因；本年养护工程支出比去年大是本年决算支出比去年大的主要原因。</w:t>
      </w:r>
    </w:p>
    <w:p>
      <w:pPr>
        <w:snapToGrid w:val="0"/>
        <w:spacing w:line="600" w:lineRule="exact"/>
        <w:ind w:firstLine="640" w:firstLineChars="200"/>
        <w:rPr>
          <w:rFonts w:ascii="楷体_GB2312" w:hAnsi="楷体_GB2312" w:eastAsia="楷体_GB2312" w:cs="楷体_GB2312"/>
          <w:sz w:val="32"/>
        </w:rPr>
      </w:pPr>
    </w:p>
    <w:p>
      <w:pPr>
        <w:ind w:firstLine="640"/>
        <w:jc w:val="left"/>
        <w:rPr>
          <w:rFonts w:ascii="楷体_GB2312" w:hAnsi="楷体_GB2312" w:eastAsia="楷体_GB2312" w:cs="楷体_GB2312"/>
          <w:color w:val="FF0000"/>
          <w:sz w:val="32"/>
        </w:rPr>
      </w:pPr>
      <w:r>
        <w:rPr>
          <w:rFonts w:hint="eastAsia" w:ascii="楷体_GB2312" w:hAnsi="楷体_GB2312" w:eastAsia="楷体_GB2312" w:cs="楷体_GB2312"/>
          <w:sz w:val="32"/>
        </w:rPr>
        <w:t>（二）机关运行经费支出情况。</w:t>
      </w:r>
    </w:p>
    <w:p>
      <w:pPr>
        <w:ind w:firstLine="64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本部门2019年度机关</w:t>
      </w:r>
      <w:r>
        <w:rPr>
          <w:rFonts w:hint="eastAsia" w:ascii="楷体_GB2312" w:hAnsi="楷体_GB2312" w:eastAsia="楷体_GB2312" w:cs="楷体_GB2312"/>
          <w:sz w:val="32"/>
        </w:rPr>
        <w:t>运行经费支出408.95万元，其中办公费27.78万元，水电费12.75万元、差旅费23.04万元、培训费5.48万元</w:t>
      </w:r>
      <w:r>
        <w:rPr>
          <w:rFonts w:hint="eastAsia" w:ascii="楷体_GB2312" w:hAnsi="楷体_GB2312" w:eastAsia="楷体_GB2312" w:cs="楷体_GB2312"/>
          <w:sz w:val="32"/>
        </w:rPr>
        <w:tab/>
      </w:r>
      <w:r>
        <w:rPr>
          <w:rFonts w:hint="eastAsia" w:ascii="楷体_GB2312" w:hAnsi="楷体_GB2312" w:eastAsia="楷体_GB2312" w:cs="楷体_GB2312"/>
          <w:sz w:val="32"/>
        </w:rPr>
        <w:t>、工会费19.89万元、福利费88.68万元、其他交通费用73.02万元、公务接待费7.36万元、公务用车运行及维护费27.46万元、其他支出123.49万元。</w:t>
      </w:r>
    </w:p>
    <w:p>
      <w:pPr>
        <w:ind w:firstLine="640" w:firstLineChars="200"/>
        <w:rPr>
          <w:rFonts w:ascii="楷体_GB2312" w:hAnsi="楷体_GB2312" w:eastAsia="楷体_GB2312" w:cs="楷体_GB2312"/>
          <w:color w:val="FF0000"/>
          <w:sz w:val="32"/>
          <w:szCs w:val="32"/>
        </w:rPr>
      </w:pPr>
      <w:r>
        <w:rPr>
          <w:rFonts w:hint="eastAsia" w:ascii="楷体_GB2312" w:hAnsi="楷体_GB2312" w:eastAsia="楷体_GB2312" w:cs="楷体_GB2312"/>
          <w:sz w:val="32"/>
          <w:szCs w:val="32"/>
        </w:rPr>
        <w:t>本部门2019年度机关</w:t>
      </w:r>
      <w:r>
        <w:rPr>
          <w:rFonts w:hint="eastAsia" w:ascii="楷体_GB2312" w:hAnsi="楷体_GB2312" w:eastAsia="楷体_GB2312" w:cs="楷体_GB2312"/>
          <w:sz w:val="32"/>
        </w:rPr>
        <w:t>运行经费支出比上年减少238.65万元，下降36.85%，</w:t>
      </w:r>
      <w:r>
        <w:rPr>
          <w:rFonts w:hint="eastAsia" w:ascii="楷体_GB2312" w:hAnsi="楷体_GB2312" w:eastAsia="楷体_GB2312" w:cs="楷体_GB2312"/>
          <w:b w:val="0"/>
          <w:bCs w:val="0"/>
          <w:color w:val="000000" w:themeColor="text1"/>
          <w:sz w:val="32"/>
        </w:rPr>
        <w:t>主要原因</w:t>
      </w:r>
      <w:r>
        <w:rPr>
          <w:rFonts w:hint="eastAsia" w:ascii="楷体_GB2312" w:hAnsi="楷体_GB2312" w:eastAsia="楷体_GB2312" w:cs="楷体_GB2312"/>
          <w:sz w:val="32"/>
        </w:rPr>
        <w:t>是一是本年实有人数比去年减少，致使差旅费、车补等费用下降；二是加强管理，严格控制开支，致使办公费等日用开支降低。</w:t>
      </w:r>
    </w:p>
    <w:p>
      <w:pPr>
        <w:ind w:firstLine="640"/>
        <w:jc w:val="left"/>
        <w:rPr>
          <w:rFonts w:ascii="楷体_GB2312" w:hAnsi="楷体_GB2312" w:eastAsia="楷体_GB2312" w:cs="楷体_GB2312"/>
          <w:color w:val="FF0000"/>
          <w:sz w:val="32"/>
        </w:rPr>
      </w:pPr>
      <w:r>
        <w:rPr>
          <w:rFonts w:hint="eastAsia" w:ascii="楷体_GB2312" w:hAnsi="楷体_GB2312" w:eastAsia="楷体_GB2312" w:cs="楷体_GB2312"/>
          <w:sz w:val="32"/>
        </w:rPr>
        <w:t>（三）政府采购支出情况。</w:t>
      </w:r>
    </w:p>
    <w:p>
      <w:pPr>
        <w:ind w:firstLine="640"/>
        <w:jc w:val="left"/>
        <w:rPr>
          <w:rFonts w:ascii="楷体_GB2312" w:hAnsi="楷体_GB2312" w:eastAsia="楷体_GB2312" w:cs="楷体_GB2312"/>
          <w:color w:val="FF0000"/>
          <w:sz w:val="32"/>
        </w:rPr>
      </w:pPr>
      <w:r>
        <w:rPr>
          <w:rFonts w:hint="eastAsia" w:ascii="楷体_GB2312" w:hAnsi="楷体_GB2312" w:eastAsia="楷体_GB2312" w:cs="楷体_GB2312"/>
          <w:sz w:val="32"/>
          <w:szCs w:val="32"/>
        </w:rPr>
        <w:t>本部门2019年度政府采购</w:t>
      </w:r>
      <w:r>
        <w:rPr>
          <w:rFonts w:hint="eastAsia" w:ascii="楷体_GB2312" w:hAnsi="楷体_GB2312" w:eastAsia="楷体_GB2312" w:cs="楷体_GB2312"/>
          <w:color w:val="000000" w:themeColor="text1"/>
          <w:sz w:val="32"/>
          <w:szCs w:val="32"/>
        </w:rPr>
        <w:t>295.46</w:t>
      </w:r>
      <w:r>
        <w:rPr>
          <w:rFonts w:hint="eastAsia" w:ascii="楷体_GB2312" w:hAnsi="楷体_GB2312" w:eastAsia="楷体_GB2312" w:cs="楷体_GB2312"/>
          <w:sz w:val="32"/>
        </w:rPr>
        <w:t>万元，其中，政府采购货物支出0万元，政府采购工程支出0万元，政府采购服务支出295.46万元，占政府采购支出总额的100%。</w:t>
      </w:r>
    </w:p>
    <w:p>
      <w:pPr>
        <w:ind w:firstLine="640"/>
        <w:jc w:val="left"/>
        <w:rPr>
          <w:rFonts w:ascii="楷体_GB2312" w:hAnsi="楷体_GB2312" w:eastAsia="楷体_GB2312" w:cs="楷体_GB2312"/>
          <w:sz w:val="32"/>
        </w:rPr>
      </w:pPr>
      <w:r>
        <w:rPr>
          <w:rFonts w:hint="eastAsia" w:ascii="楷体_GB2312" w:hAnsi="楷体_GB2312" w:eastAsia="楷体_GB2312" w:cs="楷体_GB2312"/>
          <w:sz w:val="32"/>
        </w:rPr>
        <w:t>（四）国有资产占用情况。</w:t>
      </w:r>
    </w:p>
    <w:p>
      <w:pPr>
        <w:ind w:firstLine="480" w:firstLineChars="150"/>
        <w:rPr>
          <w:rFonts w:ascii="楷体_GB2312" w:hAnsi="楷体_GB2312" w:eastAsia="楷体_GB2312" w:cs="楷体_GB2312"/>
          <w:sz w:val="32"/>
          <w:szCs w:val="32"/>
        </w:rPr>
      </w:pPr>
      <w:r>
        <w:rPr>
          <w:rFonts w:hint="eastAsia" w:ascii="楷体_GB2312" w:hAnsi="楷体_GB2312" w:eastAsia="楷体_GB2312" w:cs="楷体_GB2312"/>
          <w:sz w:val="32"/>
          <w:szCs w:val="32"/>
        </w:rPr>
        <w:t>截至2019年12月31日，本部门共有车辆</w:t>
      </w:r>
      <w:r>
        <w:rPr>
          <w:rFonts w:hint="eastAsia" w:ascii="楷体_GB2312" w:hAnsi="楷体_GB2312" w:eastAsia="楷体_GB2312" w:cs="楷体_GB2312"/>
          <w:color w:val="000000" w:themeColor="text1"/>
          <w:sz w:val="32"/>
          <w:szCs w:val="32"/>
          <w:lang w:val="en-US" w:eastAsia="zh-CN"/>
        </w:rPr>
        <w:t>5</w:t>
      </w:r>
      <w:r>
        <w:rPr>
          <w:rFonts w:hint="eastAsia" w:ascii="楷体_GB2312" w:hAnsi="楷体_GB2312" w:eastAsia="楷体_GB2312" w:cs="楷体_GB2312"/>
          <w:sz w:val="32"/>
          <w:szCs w:val="32"/>
        </w:rPr>
        <w:t>辆，其中，领导干部用车0辆、一般公务用车1辆、一般执法执勤用车</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辆、特种专业技术用车0辆、其他用车0辆，其他用车主要是机要通信和应急用车2辆，离退休人员专项用车1辆；单位价值50万元以上通用设备0台(套)，单价100万正以上专用设备0台(套!</w:t>
      </w:r>
    </w:p>
    <w:p>
      <w:pPr>
        <w:ind w:firstLine="640"/>
        <w:jc w:val="left"/>
        <w:rPr>
          <w:rFonts w:ascii="楷体_GB2312" w:hAnsi="楷体_GB2312" w:eastAsia="楷体_GB2312" w:cs="楷体_GB2312"/>
          <w:sz w:val="32"/>
        </w:rPr>
      </w:pPr>
    </w:p>
    <w:p>
      <w:pPr>
        <w:ind w:firstLine="640"/>
        <w:jc w:val="left"/>
        <w:rPr>
          <w:rFonts w:ascii="楷体_GB2312" w:hAnsi="楷体_GB2312" w:eastAsia="楷体_GB2312" w:cs="楷体_GB2312"/>
          <w:sz w:val="32"/>
        </w:rPr>
      </w:pPr>
    </w:p>
    <w:p>
      <w:pPr>
        <w:jc w:val="center"/>
        <w:rPr>
          <w:rFonts w:ascii="楷体_GB2312" w:hAnsi="楷体_GB2312" w:eastAsia="楷体_GB2312" w:cs="楷体_GB2312"/>
          <w:sz w:val="44"/>
        </w:rPr>
      </w:pPr>
      <w:r>
        <w:rPr>
          <w:rFonts w:hint="eastAsia" w:ascii="楷体_GB2312" w:hAnsi="楷体_GB2312" w:eastAsia="楷体_GB2312" w:cs="楷体_GB2312"/>
          <w:sz w:val="44"/>
        </w:rPr>
        <w:t>第四部分 名词解释</w:t>
      </w:r>
    </w:p>
    <w:p>
      <w:pPr>
        <w:ind w:firstLine="643"/>
        <w:jc w:val="left"/>
        <w:rPr>
          <w:rFonts w:ascii="仿宋" w:hAnsi="仿宋" w:eastAsia="仿宋" w:cs="仿宋"/>
          <w:b/>
          <w:sz w:val="32"/>
        </w:rPr>
      </w:pPr>
    </w:p>
    <w:p>
      <w:pPr>
        <w:ind w:firstLine="643"/>
        <w:jc w:val="left"/>
        <w:rPr>
          <w:rFonts w:ascii="楷体_GB2312" w:hAnsi="楷体_GB2312" w:eastAsia="楷体_GB2312" w:cs="楷体_GB2312"/>
          <w:sz w:val="32"/>
        </w:rPr>
      </w:pPr>
      <w:r>
        <w:rPr>
          <w:rFonts w:hint="eastAsia" w:ascii="楷体_GB2312" w:hAnsi="楷体_GB2312" w:eastAsia="楷体_GB2312" w:cs="楷体_GB2312"/>
          <w:b/>
          <w:sz w:val="32"/>
        </w:rPr>
        <w:t>一、财政拨款收入：</w:t>
      </w:r>
      <w:r>
        <w:rPr>
          <w:rFonts w:hint="eastAsia" w:ascii="楷体_GB2312" w:hAnsi="楷体_GB2312" w:eastAsia="楷体_GB2312" w:cs="楷体_GB2312"/>
          <w:sz w:val="32"/>
        </w:rPr>
        <w:t xml:space="preserve">指中央财政当年拨付的资金。 </w:t>
      </w:r>
    </w:p>
    <w:p>
      <w:pPr>
        <w:ind w:firstLine="643"/>
        <w:jc w:val="left"/>
        <w:rPr>
          <w:rFonts w:ascii="楷体_GB2312" w:hAnsi="楷体_GB2312" w:eastAsia="楷体_GB2312" w:cs="楷体_GB2312"/>
          <w:sz w:val="32"/>
        </w:rPr>
      </w:pPr>
      <w:r>
        <w:rPr>
          <w:rFonts w:hint="eastAsia" w:ascii="楷体_GB2312" w:hAnsi="楷体_GB2312" w:eastAsia="楷体_GB2312" w:cs="楷体_GB2312"/>
          <w:b/>
          <w:sz w:val="32"/>
        </w:rPr>
        <w:t>二、事业收入：</w:t>
      </w:r>
      <w:r>
        <w:rPr>
          <w:rFonts w:hint="eastAsia" w:ascii="楷体_GB2312" w:hAnsi="楷体_GB2312" w:eastAsia="楷体_GB2312" w:cs="楷体_GB2312"/>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楷体_GB2312" w:hAnsi="楷体_GB2312" w:eastAsia="楷体_GB2312" w:cs="楷体_GB2312"/>
          <w:sz w:val="32"/>
        </w:rPr>
      </w:pPr>
      <w:r>
        <w:rPr>
          <w:rFonts w:hint="eastAsia" w:ascii="楷体_GB2312" w:hAnsi="楷体_GB2312" w:eastAsia="楷体_GB2312" w:cs="楷体_GB2312"/>
          <w:b/>
          <w:sz w:val="32"/>
        </w:rPr>
        <w:t>三、经营收入：</w:t>
      </w:r>
      <w:r>
        <w:rPr>
          <w:rFonts w:hint="eastAsia" w:ascii="楷体_GB2312" w:hAnsi="楷体_GB2312" w:eastAsia="楷体_GB2312" w:cs="楷体_GB2312"/>
          <w:sz w:val="32"/>
        </w:rPr>
        <w:t xml:space="preserve">指事业单位在专业业务活动及其辅助活动之外开展非独立核算经营活动取得的收入。如：中国财政杂志社广告收入等。 </w:t>
      </w:r>
    </w:p>
    <w:p>
      <w:pPr>
        <w:ind w:firstLine="643"/>
        <w:jc w:val="left"/>
        <w:rPr>
          <w:rFonts w:ascii="楷体_GB2312" w:hAnsi="楷体_GB2312" w:eastAsia="楷体_GB2312" w:cs="楷体_GB2312"/>
          <w:sz w:val="32"/>
        </w:rPr>
      </w:pPr>
      <w:r>
        <w:rPr>
          <w:rFonts w:hint="eastAsia" w:ascii="楷体_GB2312" w:hAnsi="楷体_GB2312" w:eastAsia="楷体_GB2312" w:cs="楷体_GB2312"/>
          <w:b/>
          <w:sz w:val="32"/>
        </w:rPr>
        <w:t>四、其他收入：</w:t>
      </w:r>
      <w:r>
        <w:rPr>
          <w:rFonts w:hint="eastAsia" w:ascii="楷体_GB2312" w:hAnsi="楷体_GB2312" w:eastAsia="楷体_GB2312" w:cs="楷体_GB2312"/>
          <w:sz w:val="32"/>
        </w:rPr>
        <w:t xml:space="preserve">指除上述“财政拨款收入” 、 “事业收入” 、“经营收入”等以外的收入。主要是按规定动用的售房收入、存款利息收入等。 </w:t>
      </w:r>
    </w:p>
    <w:p>
      <w:pPr>
        <w:ind w:firstLine="643"/>
        <w:jc w:val="left"/>
        <w:rPr>
          <w:rFonts w:ascii="楷体_GB2312" w:hAnsi="楷体_GB2312" w:eastAsia="楷体_GB2312" w:cs="楷体_GB2312"/>
          <w:sz w:val="32"/>
        </w:rPr>
      </w:pPr>
      <w:r>
        <w:rPr>
          <w:rFonts w:hint="eastAsia" w:ascii="楷体_GB2312" w:hAnsi="楷体_GB2312" w:eastAsia="楷体_GB2312" w:cs="楷体_GB2312"/>
          <w:b/>
          <w:sz w:val="32"/>
        </w:rPr>
        <w:t>五、用事业基金弥补收支差额：</w:t>
      </w:r>
      <w:r>
        <w:rPr>
          <w:rFonts w:hint="eastAsia" w:ascii="楷体_GB2312" w:hAnsi="楷体_GB2312" w:eastAsia="楷体_GB2312" w:cs="楷体_GB2312"/>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楷体_GB2312" w:hAnsi="楷体_GB2312" w:eastAsia="楷体_GB2312" w:cs="楷体_GB2312"/>
          <w:sz w:val="32"/>
        </w:rPr>
      </w:pPr>
      <w:r>
        <w:rPr>
          <w:rFonts w:hint="eastAsia" w:ascii="楷体_GB2312" w:hAnsi="楷体_GB2312" w:eastAsia="楷体_GB2312" w:cs="楷体_GB2312"/>
          <w:b/>
          <w:sz w:val="32"/>
        </w:rPr>
        <w:t>六、年初结转和结余：</w:t>
      </w:r>
      <w:r>
        <w:rPr>
          <w:rFonts w:hint="eastAsia" w:ascii="楷体_GB2312" w:hAnsi="楷体_GB2312" w:eastAsia="楷体_GB2312" w:cs="楷体_GB2312"/>
          <w:sz w:val="32"/>
        </w:rPr>
        <w:t xml:space="preserve">指以前年度尚未完成、结转到本年按有关规定继续使用的资金。 </w:t>
      </w:r>
    </w:p>
    <w:p>
      <w:pPr>
        <w:ind w:firstLine="643"/>
        <w:jc w:val="left"/>
        <w:rPr>
          <w:rFonts w:ascii="楷体_GB2312" w:hAnsi="楷体_GB2312" w:eastAsia="楷体_GB2312" w:cs="楷体_GB2312"/>
          <w:sz w:val="32"/>
        </w:rPr>
      </w:pPr>
      <w:r>
        <w:rPr>
          <w:rFonts w:hint="eastAsia" w:ascii="楷体_GB2312" w:hAnsi="楷体_GB2312" w:eastAsia="楷体_GB2312" w:cs="楷体_GB2312"/>
          <w:b/>
          <w:sz w:val="32"/>
        </w:rPr>
        <w:t>七、结余分配：</w:t>
      </w:r>
      <w:r>
        <w:rPr>
          <w:rFonts w:hint="eastAsia" w:ascii="楷体_GB2312" w:hAnsi="楷体_GB2312" w:eastAsia="楷体_GB2312" w:cs="楷体_GB2312"/>
          <w:sz w:val="32"/>
        </w:rPr>
        <w:t>指事业单位按规定提取的职工福利基金、事业基金和缴纳的所得税，以及建设单位按规定应交回的基本建设竣工项目结余资金。</w:t>
      </w:r>
    </w:p>
    <w:p>
      <w:pPr>
        <w:ind w:firstLine="643"/>
        <w:jc w:val="left"/>
        <w:rPr>
          <w:rFonts w:ascii="楷体_GB2312" w:hAnsi="楷体_GB2312" w:eastAsia="楷体_GB2312" w:cs="楷体_GB2312"/>
          <w:sz w:val="32"/>
        </w:rPr>
      </w:pPr>
      <w:r>
        <w:rPr>
          <w:rFonts w:hint="eastAsia" w:ascii="楷体_GB2312" w:hAnsi="楷体_GB2312" w:eastAsia="楷体_GB2312" w:cs="楷体_GB2312"/>
          <w:b/>
          <w:sz w:val="32"/>
        </w:rPr>
        <w:t>八、年末结转和结余：</w:t>
      </w:r>
      <w:r>
        <w:rPr>
          <w:rFonts w:hint="eastAsia" w:ascii="楷体_GB2312" w:hAnsi="楷体_GB2312" w:eastAsia="楷体_GB2312" w:cs="楷体_GB2312"/>
          <w:sz w:val="32"/>
        </w:rPr>
        <w:t xml:space="preserve">指本年度或以前年度预算安排、因客观条件发生变化无法按原计划实施，需要延迟到以后年度按有关规定继续使用的资金。 </w:t>
      </w:r>
    </w:p>
    <w:p>
      <w:pPr>
        <w:ind w:firstLine="643"/>
        <w:jc w:val="left"/>
        <w:rPr>
          <w:rFonts w:ascii="楷体_GB2312" w:hAnsi="楷体_GB2312" w:eastAsia="楷体_GB2312" w:cs="楷体_GB2312"/>
          <w:sz w:val="32"/>
        </w:rPr>
      </w:pPr>
      <w:r>
        <w:rPr>
          <w:rFonts w:hint="eastAsia" w:ascii="楷体_GB2312" w:hAnsi="楷体_GB2312" w:eastAsia="楷体_GB2312" w:cs="楷体_GB2312"/>
          <w:b/>
          <w:sz w:val="32"/>
        </w:rPr>
        <w:t>九、基本支出：</w:t>
      </w:r>
      <w:r>
        <w:rPr>
          <w:rFonts w:hint="eastAsia" w:ascii="楷体_GB2312" w:hAnsi="楷体_GB2312" w:eastAsia="楷体_GB2312" w:cs="楷体_GB2312"/>
          <w:sz w:val="32"/>
        </w:rPr>
        <w:t>指为保障机构正常运转、完成日常工</w:t>
      </w:r>
    </w:p>
    <w:p>
      <w:pPr>
        <w:jc w:val="left"/>
        <w:rPr>
          <w:rFonts w:ascii="楷体_GB2312" w:hAnsi="楷体_GB2312" w:eastAsia="楷体_GB2312" w:cs="楷体_GB2312"/>
          <w:sz w:val="32"/>
        </w:rPr>
      </w:pPr>
      <w:r>
        <w:rPr>
          <w:rFonts w:hint="eastAsia" w:ascii="楷体_GB2312" w:hAnsi="楷体_GB2312" w:eastAsia="楷体_GB2312" w:cs="楷体_GB2312"/>
          <w:sz w:val="32"/>
        </w:rPr>
        <w:t xml:space="preserve">作任务而发生的人员支出和公用支出。 </w:t>
      </w:r>
    </w:p>
    <w:p>
      <w:pPr>
        <w:ind w:firstLine="643"/>
        <w:jc w:val="left"/>
        <w:rPr>
          <w:rFonts w:ascii="楷体_GB2312" w:hAnsi="楷体_GB2312" w:eastAsia="楷体_GB2312" w:cs="楷体_GB2312"/>
          <w:sz w:val="32"/>
        </w:rPr>
      </w:pPr>
      <w:r>
        <w:rPr>
          <w:rFonts w:hint="eastAsia" w:ascii="楷体_GB2312" w:hAnsi="楷体_GB2312" w:eastAsia="楷体_GB2312" w:cs="楷体_GB2312"/>
          <w:b/>
          <w:sz w:val="32"/>
        </w:rPr>
        <w:t>十、项目支出：</w:t>
      </w:r>
      <w:r>
        <w:rPr>
          <w:rFonts w:hint="eastAsia" w:ascii="楷体_GB2312" w:hAnsi="楷体_GB2312" w:eastAsia="楷体_GB2312" w:cs="楷体_GB2312"/>
          <w:sz w:val="32"/>
        </w:rPr>
        <w:t xml:space="preserve">指在基本支出之外为完成特定行政任务和事业发展目标所发生的支出。 </w:t>
      </w:r>
    </w:p>
    <w:p>
      <w:pPr>
        <w:ind w:firstLine="643"/>
        <w:jc w:val="left"/>
        <w:rPr>
          <w:rFonts w:ascii="楷体_GB2312" w:hAnsi="楷体_GB2312" w:eastAsia="楷体_GB2312" w:cs="楷体_GB2312"/>
          <w:sz w:val="32"/>
        </w:rPr>
      </w:pPr>
      <w:r>
        <w:rPr>
          <w:rFonts w:hint="eastAsia" w:ascii="楷体_GB2312" w:hAnsi="楷体_GB2312" w:eastAsia="楷体_GB2312" w:cs="楷体_GB2312"/>
          <w:b/>
          <w:sz w:val="32"/>
        </w:rPr>
        <w:t>十一、经营支出：</w:t>
      </w:r>
      <w:r>
        <w:rPr>
          <w:rFonts w:hint="eastAsia" w:ascii="楷体_GB2312" w:hAnsi="楷体_GB2312" w:eastAsia="楷体_GB2312" w:cs="楷体_GB2312"/>
          <w:sz w:val="32"/>
        </w:rPr>
        <w:t xml:space="preserve">指事业单位在专业业务活动及其辅助活动之外开展非独立核算经营活动发生的支出。 </w:t>
      </w:r>
    </w:p>
    <w:p>
      <w:pPr>
        <w:ind w:firstLine="643"/>
        <w:jc w:val="left"/>
        <w:rPr>
          <w:rFonts w:ascii="楷体_GB2312" w:hAnsi="楷体_GB2312" w:eastAsia="楷体_GB2312" w:cs="楷体_GB2312"/>
          <w:sz w:val="32"/>
        </w:rPr>
      </w:pPr>
      <w:r>
        <w:rPr>
          <w:rFonts w:hint="eastAsia" w:ascii="楷体_GB2312" w:hAnsi="楷体_GB2312" w:eastAsia="楷体_GB2312" w:cs="楷体_GB2312"/>
          <w:b/>
          <w:sz w:val="32"/>
        </w:rPr>
        <w:t>十二、“三公”经费：</w:t>
      </w:r>
      <w:r>
        <w:rPr>
          <w:rFonts w:hint="eastAsia" w:ascii="楷体_GB2312" w:hAnsi="楷体_GB2312" w:eastAsia="楷体_GB2312" w:cs="楷体_GB2312"/>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楷体_GB2312" w:hAnsi="楷体_GB2312" w:eastAsia="楷体_GB2312" w:cs="楷体_GB2312"/>
          <w:sz w:val="32"/>
        </w:rPr>
      </w:pPr>
      <w:r>
        <w:rPr>
          <w:rFonts w:hint="eastAsia" w:ascii="楷体_GB2312" w:hAnsi="楷体_GB2312" w:eastAsia="楷体_GB2312" w:cs="楷体_GB2312"/>
          <w:b/>
          <w:sz w:val="32"/>
        </w:rPr>
        <w:t>十三、机关运行经费：</w:t>
      </w:r>
      <w:r>
        <w:rPr>
          <w:rFonts w:hint="eastAsia" w:ascii="楷体_GB2312" w:hAnsi="楷体_GB2312" w:eastAsia="楷体_GB2312" w:cs="楷体_GB2312"/>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jc w:val="center"/>
        <w:rPr>
          <w:rFonts w:ascii="宋体" w:hAnsi="宋体" w:eastAsia="宋体" w:cs="宋体"/>
          <w:sz w:val="44"/>
        </w:rPr>
      </w:pPr>
    </w:p>
    <w:p>
      <w:pPr>
        <w:jc w:val="center"/>
        <w:rPr>
          <w:rFonts w:ascii="宋体" w:hAnsi="宋体" w:eastAsia="宋体" w:cs="宋体"/>
          <w:sz w:val="44"/>
        </w:rPr>
      </w:pPr>
      <w:r>
        <w:rPr>
          <w:rFonts w:hint="eastAsia" w:ascii="楷体_GB2312" w:hAnsi="楷体_GB2312" w:eastAsia="楷体_GB2312" w:cs="楷体_GB2312"/>
          <w:sz w:val="44"/>
        </w:rPr>
        <w:t>第五部分   附件</w:t>
      </w:r>
    </w:p>
    <w:p>
      <w:pPr>
        <w:jc w:val="center"/>
        <w:rPr>
          <w:rFonts w:ascii="楷体_GB2312" w:hAnsi="楷体_GB2312" w:eastAsia="楷体_GB2312" w:cs="楷体_GB2312"/>
          <w:b/>
          <w:bCs/>
          <w:sz w:val="32"/>
        </w:rPr>
      </w:pPr>
      <w:r>
        <w:rPr>
          <w:rFonts w:hint="eastAsia" w:ascii="楷体_GB2312" w:hAnsi="楷体_GB2312" w:eastAsia="楷体_GB2312" w:cs="楷体_GB2312"/>
          <w:b/>
          <w:bCs/>
          <w:sz w:val="32"/>
        </w:rPr>
        <w:t xml:space="preserve">我单位2019年度无纳入绩效自评的单个项目支出。后附《益阳市公路管理局2019年部门整体支出绩效评价报告》 </w:t>
      </w:r>
    </w:p>
    <w:p>
      <w:pPr>
        <w:jc w:val="center"/>
        <w:rPr>
          <w:rFonts w:ascii="楷体_GB2312" w:hAnsi="楷体_GB2312" w:eastAsia="楷体_GB2312" w:cs="楷体_GB2312"/>
          <w:b/>
          <w:bCs/>
          <w:sz w:val="32"/>
        </w:rPr>
      </w:pPr>
    </w:p>
    <w:p>
      <w:pPr>
        <w:jc w:val="center"/>
        <w:rPr>
          <w:rFonts w:ascii="黑体" w:eastAsia="黑体"/>
          <w:b/>
          <w:sz w:val="44"/>
          <w:szCs w:val="44"/>
        </w:rPr>
      </w:pPr>
      <w:r>
        <w:rPr>
          <w:rFonts w:hint="eastAsia" w:ascii="黑体" w:eastAsia="黑体"/>
          <w:b/>
          <w:sz w:val="44"/>
          <w:szCs w:val="44"/>
        </w:rPr>
        <w:t>益阳市公路管理局</w:t>
      </w:r>
    </w:p>
    <w:p>
      <w:pPr>
        <w:spacing w:beforeLines="50" w:line="500" w:lineRule="exact"/>
        <w:jc w:val="center"/>
        <w:rPr>
          <w:rFonts w:ascii="黑体" w:eastAsia="黑体"/>
          <w:b/>
          <w:sz w:val="44"/>
          <w:szCs w:val="44"/>
        </w:rPr>
      </w:pPr>
      <w:r>
        <w:rPr>
          <w:rFonts w:hint="eastAsia" w:ascii="黑体" w:eastAsia="黑体"/>
          <w:b/>
          <w:sz w:val="44"/>
          <w:szCs w:val="44"/>
        </w:rPr>
        <w:t>2019年部门整体支出绩效评价报告</w:t>
      </w:r>
    </w:p>
    <w:p>
      <w:pPr>
        <w:spacing w:beforeLines="50" w:line="600" w:lineRule="exact"/>
        <w:ind w:firstLine="640" w:firstLineChars="200"/>
        <w:rPr>
          <w:rFonts w:ascii="仿宋" w:hAnsi="仿宋" w:eastAsia="仿宋" w:cs="仿宋"/>
          <w:sz w:val="32"/>
          <w:szCs w:val="32"/>
        </w:rPr>
      </w:pPr>
      <w:r>
        <w:rPr>
          <w:rFonts w:hint="eastAsia" w:ascii="仿宋" w:hAnsi="仿宋" w:eastAsia="仿宋" w:cs="仿宋"/>
          <w:sz w:val="32"/>
          <w:szCs w:val="32"/>
        </w:rPr>
        <w:t>为进一步规范财政资金管理，牢固树立预算绩效理念，强化部门支出责任，提高财政资金使用效益，根据《中共湖南省委办公厅 湖南省人民政府办公厅关于全面实施预算绩效管理的实施意见》（湘办发[2019]10号）、《益阳市人民政府关于全面推进预算绩效管理的实施意见》（益政发[2013]10号）、《益阳市财政局关于加强预算绩效管理工作的通知》（益财绩[2019]198号），我局按照《益阳市财政局关于开展2019年度预算绩效自评工作的通知》（益财绩〔2020〕70号）的部署，对2019年度公路管理局系统部门整体支出绩效进行了自评，自评分92.3分，自评结论为“优秀”。现将具体情况报告如下：</w:t>
      </w:r>
    </w:p>
    <w:p>
      <w:pPr>
        <w:spacing w:line="600" w:lineRule="exact"/>
        <w:ind w:firstLine="640" w:firstLineChars="200"/>
        <w:rPr>
          <w:rFonts w:ascii="仿宋" w:hAnsi="仿宋" w:eastAsia="仿宋" w:cs="仿宋"/>
          <w:sz w:val="32"/>
          <w:szCs w:val="32"/>
        </w:rPr>
      </w:pPr>
      <w:r>
        <w:rPr>
          <w:rFonts w:hint="eastAsia" w:ascii="仿宋" w:hAnsi="仿宋" w:eastAsia="仿宋" w:cs="仿宋"/>
          <w:b/>
          <w:bCs/>
          <w:sz w:val="32"/>
          <w:szCs w:val="32"/>
        </w:rPr>
        <w:t>一、基本情况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益阳市公路管理局是市人民政府直属的参照公务员管理的正处级事业单位。机关内设办公室等16个职能科室。下辖益阳市公路路政执法支队、益阳市车辆超限超载谢林港检测站、益阳市公路工程试验检测中心、益阳市公路应急抢险中心4个正科级事业单位。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2019年市公路管理局系统编制人数290人，其中参公编制99人（局机关74人，路政执法支队25人），财政全额补助编制58人（车辆超限超载谢林港检测站），财政差额补助编制133人（公路工程试验检测中心11人、公路应急抢险中心122人）。年末实有人数872人，其中在职人数287人（局机关64人，路政执法支队19人，谢林港检测站63人，检测中心9人，应急抢险中心132人），离休1人，退休584人。  </w:t>
      </w:r>
    </w:p>
    <w:p>
      <w:pPr>
        <w:spacing w:line="600" w:lineRule="exact"/>
        <w:ind w:firstLine="640" w:firstLineChars="200"/>
        <w:rPr>
          <w:rFonts w:ascii="仿宋" w:hAnsi="仿宋" w:eastAsia="仿宋" w:cs="仿宋"/>
          <w:b/>
          <w:sz w:val="32"/>
          <w:szCs w:val="32"/>
        </w:rPr>
      </w:pPr>
      <w:r>
        <w:rPr>
          <w:rFonts w:hint="eastAsia" w:ascii="仿宋" w:hAnsi="仿宋" w:eastAsia="仿宋" w:cs="仿宋"/>
          <w:b/>
          <w:sz w:val="32"/>
          <w:szCs w:val="32"/>
        </w:rPr>
        <w:t>（一）部门整体收支概况</w:t>
      </w:r>
    </w:p>
    <w:p>
      <w:pPr>
        <w:spacing w:line="600" w:lineRule="exact"/>
        <w:ind w:firstLine="633" w:firstLineChars="198"/>
        <w:rPr>
          <w:rFonts w:ascii="仿宋" w:hAnsi="仿宋" w:eastAsia="仿宋" w:cs="仿宋"/>
          <w:sz w:val="32"/>
          <w:szCs w:val="32"/>
        </w:rPr>
      </w:pPr>
      <w:r>
        <w:rPr>
          <w:rFonts w:hint="eastAsia" w:ascii="仿宋" w:hAnsi="仿宋" w:eastAsia="仿宋" w:cs="仿宋"/>
          <w:sz w:val="32"/>
          <w:szCs w:val="32"/>
        </w:rPr>
        <w:t xml:space="preserve">2019年益阳市公路管理局部门决算收支完成情况。收入：27,752.37万元，其中：财政拨款4,492.32万元，事业收入300.00万元，上级补助收入52.64万元，其他收入22,907.41万元。支出：24,656.56万元，其中：基本支出4,004.13万元，项目支出20,652.43万元。年初预算5,675.66万元，年初预算完成率100%，年末结转结余3141.92万元。 </w:t>
      </w:r>
    </w:p>
    <w:p>
      <w:pPr>
        <w:spacing w:line="600" w:lineRule="exact"/>
        <w:ind w:firstLine="640" w:firstLineChars="200"/>
        <w:rPr>
          <w:rFonts w:ascii="仿宋" w:hAnsi="仿宋" w:eastAsia="仿宋" w:cs="仿宋"/>
          <w:b/>
          <w:sz w:val="32"/>
          <w:szCs w:val="32"/>
        </w:rPr>
      </w:pPr>
      <w:r>
        <w:rPr>
          <w:rFonts w:hint="eastAsia" w:ascii="仿宋" w:hAnsi="仿宋" w:eastAsia="仿宋" w:cs="仿宋"/>
          <w:b/>
          <w:sz w:val="32"/>
          <w:szCs w:val="32"/>
        </w:rPr>
        <w:t>（二）整体支出绩效目标</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整体绩效目标：</w:t>
      </w:r>
      <w:r>
        <w:rPr>
          <w:rFonts w:hint="eastAsia" w:ascii="仿宋" w:hAnsi="仿宋" w:eastAsia="仿宋" w:cs="仿宋"/>
          <w:sz w:val="32"/>
          <w:szCs w:val="32"/>
        </w:rPr>
        <w:t>依据全市交通发展规划编制全市公路发展规划；负责辖区内国省干线公路的建设、养护和管理；负责市立项的公路建设项目的工程设计、施工和质量安全；负责益桃一级公路超限超载治理，负责查处重大或跨区域路政案件，负责公路路政与超限超载治理的执法监督；组织、指导公路重大灾害应急抢险；负责全市公路养护工作的指导、监督、检查与考核工作；负责引导、推广公路建设、管理、养护的新技术、新工艺、新材料、新设备的应用等。</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预决算公开</w:t>
      </w:r>
      <w:r>
        <w:rPr>
          <w:rFonts w:hint="eastAsia" w:ascii="仿宋" w:hAnsi="仿宋" w:eastAsia="仿宋" w:cs="仿宋"/>
          <w:b/>
          <w:sz w:val="32"/>
          <w:szCs w:val="32"/>
        </w:rPr>
        <w:t>：</w:t>
      </w:r>
      <w:r>
        <w:rPr>
          <w:rFonts w:hint="eastAsia" w:ascii="仿宋" w:hAnsi="仿宋" w:eastAsia="仿宋" w:cs="仿宋"/>
          <w:sz w:val="32"/>
          <w:szCs w:val="32"/>
        </w:rPr>
        <w:t>2019年，按照上级的要求，益阳市公路管理局在益阳市财政局门户网站上及时、准确地进行了预决算公开。</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资产管理：为进一步加强资产的管理，益阳市公路管理局制定了《 益阳市公路管理局财务管理制度（试行）》《 益阳市公路管理局机关后勤管理制度》等，明确了具体责任人，对资产登记、领用、销审等手续做了相关规定。2019年度，进一步完善了固定资产台帐，并按市财政局要求，对涉改资产进行全面清查，处理。</w:t>
      </w:r>
    </w:p>
    <w:p>
      <w:pPr>
        <w:spacing w:line="600" w:lineRule="exact"/>
        <w:ind w:firstLine="320" w:firstLineChars="100"/>
        <w:rPr>
          <w:rFonts w:ascii="仿宋" w:hAnsi="仿宋" w:eastAsia="仿宋" w:cs="仿宋"/>
          <w:sz w:val="32"/>
          <w:szCs w:val="32"/>
        </w:rPr>
      </w:pPr>
      <w:r>
        <w:rPr>
          <w:rFonts w:hint="eastAsia" w:ascii="仿宋" w:hAnsi="仿宋" w:eastAsia="仿宋" w:cs="仿宋"/>
          <w:sz w:val="32"/>
          <w:szCs w:val="32"/>
        </w:rPr>
        <w:t>“三公经费”控制情况：为贯彻落实上级有关精神，严格控制“三公经费”支出，市公路管理局制定了《益阳市公路管理局公务用车使用管理试行办法》《 益阳市公路管理局公务接待管理实施细则》等，2019年益阳市公路管理局系统“三公经费”47.38万元，与2018年同比上升7.68%。其中：2019年公务车辆运行经费35.13万元，同比上升31.01%（由于市谢林港车辆检测站未编报2018年公务用车运行维护费的预、决算，因此无数据。2019年，市谢林港车辆检测站公务用车运行维护费预算14万元，年度实际发生数7.67万元。）；公务接待费6.86万元，同比下降43%；2019年因公出国（境）费5.39万元，同比上升4.58%。</w:t>
      </w:r>
    </w:p>
    <w:p>
      <w:pPr>
        <w:spacing w:line="600" w:lineRule="exact"/>
        <w:ind w:firstLine="1601" w:firstLineChars="500"/>
        <w:rPr>
          <w:rFonts w:ascii="仿宋" w:hAnsi="仿宋" w:eastAsia="仿宋" w:cs="仿宋"/>
          <w:sz w:val="32"/>
          <w:szCs w:val="32"/>
        </w:rPr>
      </w:pPr>
      <w:r>
        <w:rPr>
          <w:rFonts w:hint="eastAsia" w:ascii="仿宋" w:hAnsi="仿宋" w:eastAsia="仿宋" w:cs="仿宋"/>
          <w:b/>
          <w:sz w:val="32"/>
          <w:szCs w:val="32"/>
        </w:rPr>
        <w:t>2019年度部门 “三公”经费情况（万元）</w:t>
      </w:r>
    </w:p>
    <w:tbl>
      <w:tblPr>
        <w:tblStyle w:val="4"/>
        <w:tblW w:w="8250" w:type="dxa"/>
        <w:jc w:val="center"/>
        <w:tblLayout w:type="fixed"/>
        <w:tblCellMar>
          <w:top w:w="0" w:type="dxa"/>
          <w:left w:w="108" w:type="dxa"/>
          <w:bottom w:w="0" w:type="dxa"/>
          <w:right w:w="108" w:type="dxa"/>
        </w:tblCellMar>
      </w:tblPr>
      <w:tblGrid>
        <w:gridCol w:w="1687"/>
        <w:gridCol w:w="1395"/>
        <w:gridCol w:w="1335"/>
        <w:gridCol w:w="975"/>
        <w:gridCol w:w="1590"/>
        <w:gridCol w:w="1268"/>
      </w:tblGrid>
      <w:tr>
        <w:tblPrEx>
          <w:tblCellMar>
            <w:top w:w="0" w:type="dxa"/>
            <w:left w:w="108" w:type="dxa"/>
            <w:bottom w:w="0" w:type="dxa"/>
            <w:right w:w="108" w:type="dxa"/>
          </w:tblCellMar>
        </w:tblPrEx>
        <w:trPr>
          <w:trHeight w:val="375" w:hRule="atLeast"/>
          <w:jc w:val="center"/>
        </w:trPr>
        <w:tc>
          <w:tcPr>
            <w:tcW w:w="1687"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项目</w:t>
            </w:r>
          </w:p>
        </w:tc>
        <w:tc>
          <w:tcPr>
            <w:tcW w:w="139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2019年决算数</w:t>
            </w:r>
          </w:p>
        </w:tc>
        <w:tc>
          <w:tcPr>
            <w:tcW w:w="133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2019年预算数</w:t>
            </w:r>
          </w:p>
        </w:tc>
        <w:tc>
          <w:tcPr>
            <w:tcW w:w="97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比预算增减数（%）</w:t>
            </w:r>
          </w:p>
        </w:tc>
        <w:tc>
          <w:tcPr>
            <w:tcW w:w="1590"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2018年决算数</w:t>
            </w:r>
          </w:p>
        </w:tc>
        <w:tc>
          <w:tcPr>
            <w:tcW w:w="1268"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比上年增减数（%）</w:t>
            </w:r>
          </w:p>
        </w:tc>
      </w:tr>
      <w:tr>
        <w:tblPrEx>
          <w:tblCellMar>
            <w:top w:w="0" w:type="dxa"/>
            <w:left w:w="108" w:type="dxa"/>
            <w:bottom w:w="0" w:type="dxa"/>
            <w:right w:w="108" w:type="dxa"/>
          </w:tblCellMar>
        </w:tblPrEx>
        <w:trPr>
          <w:trHeight w:val="510" w:hRule="atLeast"/>
          <w:jc w:val="center"/>
        </w:trPr>
        <w:tc>
          <w:tcPr>
            <w:tcW w:w="1687"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公务接待费</w:t>
            </w:r>
          </w:p>
        </w:tc>
        <w:tc>
          <w:tcPr>
            <w:tcW w:w="139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6.86</w:t>
            </w:r>
          </w:p>
        </w:tc>
        <w:tc>
          <w:tcPr>
            <w:tcW w:w="133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62.00</w:t>
            </w:r>
          </w:p>
        </w:tc>
        <w:tc>
          <w:tcPr>
            <w:tcW w:w="97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-88.94</w:t>
            </w:r>
          </w:p>
        </w:tc>
        <w:tc>
          <w:tcPr>
            <w:tcW w:w="1590"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12.03</w:t>
            </w:r>
          </w:p>
        </w:tc>
        <w:tc>
          <w:tcPr>
            <w:tcW w:w="1268"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-43.00</w:t>
            </w:r>
          </w:p>
        </w:tc>
      </w:tr>
      <w:tr>
        <w:tblPrEx>
          <w:tblCellMar>
            <w:top w:w="0" w:type="dxa"/>
            <w:left w:w="108" w:type="dxa"/>
            <w:bottom w:w="0" w:type="dxa"/>
            <w:right w:w="108" w:type="dxa"/>
          </w:tblCellMar>
        </w:tblPrEx>
        <w:trPr>
          <w:trHeight w:val="510" w:hRule="atLeast"/>
          <w:jc w:val="center"/>
        </w:trPr>
        <w:tc>
          <w:tcPr>
            <w:tcW w:w="1687"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公务用车运行及购置</w:t>
            </w:r>
          </w:p>
        </w:tc>
        <w:tc>
          <w:tcPr>
            <w:tcW w:w="139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35.13</w:t>
            </w:r>
          </w:p>
        </w:tc>
        <w:tc>
          <w:tcPr>
            <w:tcW w:w="133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109.00</w:t>
            </w:r>
          </w:p>
        </w:tc>
        <w:tc>
          <w:tcPr>
            <w:tcW w:w="97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-67.77</w:t>
            </w:r>
          </w:p>
        </w:tc>
        <w:tc>
          <w:tcPr>
            <w:tcW w:w="1590"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26.81</w:t>
            </w:r>
          </w:p>
        </w:tc>
        <w:tc>
          <w:tcPr>
            <w:tcW w:w="1268"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31.01</w:t>
            </w:r>
          </w:p>
        </w:tc>
      </w:tr>
      <w:tr>
        <w:tblPrEx>
          <w:tblCellMar>
            <w:top w:w="0" w:type="dxa"/>
            <w:left w:w="108" w:type="dxa"/>
            <w:bottom w:w="0" w:type="dxa"/>
            <w:right w:w="108" w:type="dxa"/>
          </w:tblCellMar>
        </w:tblPrEx>
        <w:trPr>
          <w:trHeight w:val="90" w:hRule="atLeast"/>
          <w:jc w:val="center"/>
        </w:trPr>
        <w:tc>
          <w:tcPr>
            <w:tcW w:w="1687"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因公出国经费</w:t>
            </w:r>
          </w:p>
        </w:tc>
        <w:tc>
          <w:tcPr>
            <w:tcW w:w="139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5.39</w:t>
            </w:r>
          </w:p>
        </w:tc>
        <w:tc>
          <w:tcPr>
            <w:tcW w:w="133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0.00</w:t>
            </w:r>
          </w:p>
        </w:tc>
        <w:tc>
          <w:tcPr>
            <w:tcW w:w="97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100</w:t>
            </w:r>
          </w:p>
        </w:tc>
        <w:tc>
          <w:tcPr>
            <w:tcW w:w="1590"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5.16</w:t>
            </w:r>
          </w:p>
        </w:tc>
        <w:tc>
          <w:tcPr>
            <w:tcW w:w="1268"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4.58</w:t>
            </w:r>
          </w:p>
        </w:tc>
      </w:tr>
      <w:tr>
        <w:tblPrEx>
          <w:tblCellMar>
            <w:top w:w="0" w:type="dxa"/>
            <w:left w:w="108" w:type="dxa"/>
            <w:bottom w:w="0" w:type="dxa"/>
            <w:right w:w="108" w:type="dxa"/>
          </w:tblCellMar>
        </w:tblPrEx>
        <w:trPr>
          <w:trHeight w:val="510" w:hRule="atLeast"/>
          <w:jc w:val="center"/>
        </w:trPr>
        <w:tc>
          <w:tcPr>
            <w:tcW w:w="1687"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合计</w:t>
            </w:r>
          </w:p>
        </w:tc>
        <w:tc>
          <w:tcPr>
            <w:tcW w:w="139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fldChar w:fldCharType="begin"/>
            </w:r>
            <w:r>
              <w:rPr>
                <w:rFonts w:hint="eastAsia" w:ascii="仿宋" w:hAnsi="仿宋" w:eastAsia="仿宋" w:cs="仿宋"/>
                <w:b/>
                <w:bCs/>
                <w:kern w:val="0"/>
                <w:sz w:val="24"/>
                <w:szCs w:val="24"/>
              </w:rPr>
              <w:instrText xml:space="preserve"> = sum(B2:B4) \* MERGEFORMAT </w:instrText>
            </w:r>
            <w:r>
              <w:rPr>
                <w:rFonts w:hint="eastAsia" w:ascii="仿宋" w:hAnsi="仿宋" w:eastAsia="仿宋" w:cs="仿宋"/>
                <w:b/>
                <w:bCs/>
                <w:kern w:val="0"/>
                <w:sz w:val="24"/>
                <w:szCs w:val="24"/>
              </w:rPr>
              <w:fldChar w:fldCharType="separate"/>
            </w:r>
            <w:r>
              <w:rPr>
                <w:rFonts w:hint="eastAsia" w:ascii="仿宋" w:hAnsi="仿宋" w:eastAsia="仿宋" w:cs="仿宋"/>
                <w:b/>
                <w:bCs/>
                <w:kern w:val="0"/>
                <w:sz w:val="24"/>
                <w:szCs w:val="24"/>
              </w:rPr>
              <w:t>47.38</w:t>
            </w:r>
            <w:r>
              <w:rPr>
                <w:rFonts w:hint="eastAsia" w:ascii="仿宋" w:hAnsi="仿宋" w:eastAsia="仿宋" w:cs="仿宋"/>
                <w:b/>
                <w:bCs/>
                <w:kern w:val="0"/>
                <w:sz w:val="24"/>
                <w:szCs w:val="24"/>
              </w:rPr>
              <w:fldChar w:fldCharType="end"/>
            </w:r>
          </w:p>
        </w:tc>
        <w:tc>
          <w:tcPr>
            <w:tcW w:w="133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171.00</w:t>
            </w:r>
          </w:p>
        </w:tc>
        <w:tc>
          <w:tcPr>
            <w:tcW w:w="975"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-72.29</w:t>
            </w:r>
          </w:p>
        </w:tc>
        <w:tc>
          <w:tcPr>
            <w:tcW w:w="1590"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fldChar w:fldCharType="begin"/>
            </w:r>
            <w:r>
              <w:rPr>
                <w:rFonts w:hint="eastAsia" w:ascii="仿宋" w:hAnsi="仿宋" w:eastAsia="仿宋" w:cs="仿宋"/>
                <w:b/>
                <w:bCs/>
                <w:kern w:val="0"/>
                <w:sz w:val="24"/>
                <w:szCs w:val="24"/>
              </w:rPr>
              <w:instrText xml:space="preserve"> = sum(E2:E4) \* MERGEFORMAT </w:instrText>
            </w:r>
            <w:r>
              <w:rPr>
                <w:rFonts w:hint="eastAsia" w:ascii="仿宋" w:hAnsi="仿宋" w:eastAsia="仿宋" w:cs="仿宋"/>
                <w:b/>
                <w:bCs/>
                <w:kern w:val="0"/>
                <w:sz w:val="24"/>
                <w:szCs w:val="24"/>
              </w:rPr>
              <w:fldChar w:fldCharType="separate"/>
            </w:r>
            <w:r>
              <w:rPr>
                <w:rFonts w:hint="eastAsia" w:ascii="仿宋" w:hAnsi="仿宋" w:eastAsia="仿宋" w:cs="仿宋"/>
                <w:b/>
                <w:bCs/>
                <w:kern w:val="0"/>
                <w:sz w:val="24"/>
                <w:szCs w:val="24"/>
              </w:rPr>
              <w:t>44</w:t>
            </w:r>
            <w:r>
              <w:rPr>
                <w:rFonts w:hint="eastAsia" w:ascii="仿宋" w:hAnsi="仿宋" w:eastAsia="仿宋" w:cs="仿宋"/>
                <w:b/>
                <w:bCs/>
                <w:kern w:val="0"/>
                <w:sz w:val="24"/>
                <w:szCs w:val="24"/>
              </w:rPr>
              <w:fldChar w:fldCharType="end"/>
            </w:r>
            <w:r>
              <w:rPr>
                <w:rFonts w:hint="eastAsia" w:ascii="仿宋" w:hAnsi="仿宋" w:eastAsia="仿宋" w:cs="仿宋"/>
                <w:b/>
                <w:bCs/>
                <w:kern w:val="0"/>
                <w:sz w:val="24"/>
                <w:szCs w:val="24"/>
              </w:rPr>
              <w:t>.00</w:t>
            </w:r>
          </w:p>
        </w:tc>
        <w:tc>
          <w:tcPr>
            <w:tcW w:w="1268" w:type="dxa"/>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7.68</w:t>
            </w:r>
          </w:p>
        </w:tc>
      </w:tr>
    </w:tbl>
    <w:p>
      <w:pPr>
        <w:spacing w:line="600" w:lineRule="exact"/>
        <w:ind w:firstLine="480" w:firstLineChars="200"/>
        <w:rPr>
          <w:rFonts w:ascii="仿宋" w:hAnsi="仿宋" w:eastAsia="仿宋" w:cs="仿宋"/>
          <w:sz w:val="32"/>
          <w:szCs w:val="32"/>
        </w:rPr>
      </w:pPr>
      <w:r>
        <w:rPr>
          <w:rFonts w:hint="eastAsia" w:ascii="仿宋" w:hAnsi="仿宋" w:eastAsia="仿宋" w:cs="仿宋"/>
          <w:sz w:val="24"/>
          <w:szCs w:val="24"/>
        </w:rPr>
        <w:t>内部管理制度建设情况：近年来，益阳市公路管理</w:t>
      </w:r>
      <w:r>
        <w:rPr>
          <w:rFonts w:hint="eastAsia" w:ascii="仿宋" w:hAnsi="仿宋" w:eastAsia="仿宋" w:cs="仿宋"/>
          <w:sz w:val="32"/>
          <w:szCs w:val="32"/>
        </w:rPr>
        <w:t>局由办公室组织编写了一系列内部管理制度。有《益阳市公路管理局党委实施重大事项决策民主化的规定》《益阳市公路管理局机关工作人员守则》《 益阳市公路管理局局务会议制度》《 益阳市公路管理局财务管理制度（试行）》《益阳市公路管理局机关财务管理办法》《 益阳市公路管理局内部审计管理制度》《益阳市公路管理局公务用车使用管理试行办法》《 益阳市公路管理局机关后勤管理制度》《 益阳市公路管理局公务接待接待管理实施细则》《益阳市公路管理局机关工作人员出差管理办法》等。</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整体绩效总目标完成情况：2019年，全市公路系统紧紧围绕年度目标任务，积极参与交通大会战，按照全面实施的三大工程，切实加强三大养护，强力推进治超工作，扎实推进农村公路建设管养工作，持续提升安全生产水平，全面加强党的建设的工作部署，主动作为，扎实工作，圆满地完成了各项工作目标任务。</w:t>
      </w:r>
    </w:p>
    <w:p>
      <w:pPr>
        <w:spacing w:line="600" w:lineRule="exact"/>
        <w:ind w:firstLine="640" w:firstLineChars="200"/>
        <w:rPr>
          <w:rFonts w:ascii="仿宋" w:hAnsi="仿宋" w:eastAsia="仿宋" w:cs="仿宋"/>
          <w:sz w:val="32"/>
          <w:szCs w:val="32"/>
        </w:rPr>
      </w:pPr>
      <w:r>
        <w:rPr>
          <w:rFonts w:hint="eastAsia" w:ascii="仿宋" w:hAnsi="仿宋" w:eastAsia="仿宋" w:cs="仿宋"/>
          <w:bCs/>
          <w:sz w:val="32"/>
          <w:szCs w:val="32"/>
        </w:rPr>
        <w:t>项目绩效总目标完成情况:我市国省干线公路大中修项目全</w:t>
      </w:r>
      <w:r>
        <w:rPr>
          <w:rFonts w:hint="eastAsia" w:ascii="仿宋" w:hAnsi="仿宋" w:eastAsia="仿宋" w:cs="仿宋"/>
          <w:sz w:val="32"/>
          <w:szCs w:val="32"/>
        </w:rPr>
        <w:t>面完工，市委市政府确定的干线公路建设目标任务，农村公路建管养齐头并进助力农村人居环境整治，超载超限治理、路域环境整治、脱贫攻坚等，均超过完成目标任务。</w:t>
      </w:r>
    </w:p>
    <w:p>
      <w:pPr>
        <w:spacing w:line="600" w:lineRule="exact"/>
        <w:jc w:val="left"/>
        <w:rPr>
          <w:rFonts w:ascii="仿宋" w:hAnsi="仿宋" w:eastAsia="仿宋" w:cs="仿宋"/>
          <w:b/>
          <w:sz w:val="32"/>
          <w:szCs w:val="32"/>
        </w:rPr>
      </w:pPr>
      <w:r>
        <w:rPr>
          <w:rFonts w:hint="eastAsia" w:ascii="仿宋" w:hAnsi="仿宋" w:eastAsia="仿宋" w:cs="仿宋"/>
          <w:b/>
          <w:sz w:val="32"/>
          <w:szCs w:val="32"/>
        </w:rPr>
        <w:t xml:space="preserve">    （三）部门整体支出情况分析</w:t>
      </w:r>
    </w:p>
    <w:p>
      <w:pPr>
        <w:topLinePunct/>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益阳市公路管理局2019年财政批复预算支出5675.66万元，其中：基本支出4396.78万元，项目支出1278.88万元；年中追加（调整）预算18980.90万元，其中：基本支出-392.65万元，主要为工资福利支出，项目支出19373.55万元，主要为专户拨入的公路养护专项；年末决算支出24656.56万元，其中：基本支出4004.13万元，项目支出20652.43万元。</w:t>
      </w:r>
    </w:p>
    <w:p>
      <w:pPr>
        <w:topLinePunct/>
        <w:spacing w:line="600" w:lineRule="exact"/>
        <w:ind w:firstLine="640" w:firstLineChars="200"/>
        <w:rPr>
          <w:rFonts w:ascii="仿宋" w:hAnsi="仿宋" w:eastAsia="仿宋" w:cs="仿宋"/>
          <w:sz w:val="32"/>
          <w:szCs w:val="32"/>
        </w:rPr>
      </w:pPr>
      <w:r>
        <w:rPr>
          <w:rFonts w:hint="eastAsia" w:ascii="仿宋" w:hAnsi="仿宋" w:eastAsia="仿宋" w:cs="仿宋"/>
          <w:b/>
          <w:sz w:val="32"/>
          <w:szCs w:val="32"/>
        </w:rPr>
        <w:t>（一） 2019年度部门预算情况</w:t>
      </w:r>
      <w:r>
        <w:rPr>
          <w:rFonts w:hint="eastAsia" w:ascii="仿宋" w:hAnsi="仿宋" w:eastAsia="仿宋" w:cs="仿宋"/>
          <w:sz w:val="32"/>
          <w:szCs w:val="32"/>
        </w:rPr>
        <w:t xml:space="preserve">  （万元）</w:t>
      </w:r>
    </w:p>
    <w:tbl>
      <w:tblPr>
        <w:tblStyle w:val="4"/>
        <w:tblW w:w="0" w:type="auto"/>
        <w:tblInd w:w="0" w:type="dxa"/>
        <w:tblLayout w:type="fixed"/>
        <w:tblCellMar>
          <w:top w:w="15" w:type="dxa"/>
          <w:left w:w="15" w:type="dxa"/>
          <w:bottom w:w="15" w:type="dxa"/>
          <w:right w:w="15" w:type="dxa"/>
        </w:tblCellMar>
      </w:tblPr>
      <w:tblGrid>
        <w:gridCol w:w="2469"/>
        <w:gridCol w:w="943"/>
        <w:gridCol w:w="968"/>
        <w:gridCol w:w="908"/>
        <w:gridCol w:w="1120"/>
        <w:gridCol w:w="966"/>
        <w:gridCol w:w="968"/>
      </w:tblGrid>
      <w:tr>
        <w:tblPrEx>
          <w:tblCellMar>
            <w:top w:w="15" w:type="dxa"/>
            <w:left w:w="15" w:type="dxa"/>
            <w:bottom w:w="15" w:type="dxa"/>
            <w:right w:w="15" w:type="dxa"/>
          </w:tblCellMar>
        </w:tblPrEx>
        <w:trPr>
          <w:trHeight w:val="1100" w:hRule="atLeast"/>
        </w:trPr>
        <w:tc>
          <w:tcPr>
            <w:tcW w:w="2469" w:type="dxa"/>
            <w:tcBorders>
              <w:top w:val="single" w:color="000000" w:sz="4" w:space="0"/>
              <w:left w:val="single" w:color="000000" w:sz="4" w:space="0"/>
              <w:bottom w:val="single" w:color="000000" w:sz="4" w:space="0"/>
              <w:right w:val="single" w:color="000000" w:sz="4" w:space="0"/>
            </w:tcBorders>
            <w:vAlign w:val="center"/>
          </w:tcPr>
          <w:p>
            <w:pPr>
              <w:spacing w:line="600" w:lineRule="exact"/>
              <w:rPr>
                <w:rFonts w:ascii="仿宋" w:hAnsi="仿宋" w:eastAsia="仿宋" w:cs="仿宋"/>
                <w:color w:val="000000"/>
                <w:sz w:val="24"/>
                <w:szCs w:val="24"/>
              </w:rPr>
            </w:pP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小计</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局机关</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路政支队</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谢林港检测站</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公路检测中心</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应急抢险中心</w:t>
            </w:r>
          </w:p>
        </w:tc>
      </w:tr>
      <w:tr>
        <w:tblPrEx>
          <w:tblCellMar>
            <w:top w:w="15" w:type="dxa"/>
            <w:left w:w="15" w:type="dxa"/>
            <w:bottom w:w="15" w:type="dxa"/>
            <w:right w:w="15" w:type="dxa"/>
          </w:tblCellMar>
        </w:tblPrEx>
        <w:trPr>
          <w:trHeight w:val="454" w:hRule="exact"/>
        </w:trPr>
        <w:tc>
          <w:tcPr>
            <w:tcW w:w="246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bookmarkStart w:id="0" w:name="OLE_LINK1" w:colFirst="1" w:colLast="6"/>
            <w:r>
              <w:rPr>
                <w:rFonts w:hint="eastAsia" w:ascii="仿宋" w:hAnsi="仿宋" w:eastAsia="仿宋" w:cs="仿宋"/>
                <w:color w:val="000000"/>
                <w:kern w:val="0"/>
                <w:sz w:val="24"/>
                <w:szCs w:val="24"/>
              </w:rPr>
              <w:t>基本支出</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4396.78</w:t>
            </w:r>
          </w:p>
        </w:tc>
        <w:tc>
          <w:tcPr>
            <w:tcW w:w="968" w:type="dxa"/>
            <w:tcBorders>
              <w:top w:val="single" w:color="000000" w:sz="4" w:space="0"/>
              <w:left w:val="single" w:color="000000" w:sz="4" w:space="0"/>
              <w:bottom w:val="single" w:color="000000" w:sz="4" w:space="0"/>
              <w:right w:val="single" w:color="000000" w:sz="4" w:space="0"/>
            </w:tcBorders>
            <w:vAlign w:val="bottom"/>
          </w:tcPr>
          <w:p>
            <w:pPr>
              <w:spacing w:line="6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1835.18</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262.08</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556.72</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139.78</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1603.02</w:t>
            </w:r>
          </w:p>
        </w:tc>
      </w:tr>
      <w:tr>
        <w:tblPrEx>
          <w:tblCellMar>
            <w:top w:w="15" w:type="dxa"/>
            <w:left w:w="15" w:type="dxa"/>
            <w:bottom w:w="15" w:type="dxa"/>
            <w:right w:w="15" w:type="dxa"/>
          </w:tblCellMar>
        </w:tblPrEx>
        <w:trPr>
          <w:trHeight w:val="454" w:hRule="exact"/>
        </w:trPr>
        <w:tc>
          <w:tcPr>
            <w:tcW w:w="246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  工资福利支出</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3366.75</w:t>
            </w:r>
          </w:p>
        </w:tc>
        <w:tc>
          <w:tcPr>
            <w:tcW w:w="968" w:type="dxa"/>
            <w:tcBorders>
              <w:top w:val="single" w:color="000000" w:sz="4" w:space="0"/>
              <w:left w:val="single" w:color="000000" w:sz="4" w:space="0"/>
              <w:bottom w:val="single" w:color="000000" w:sz="4" w:space="0"/>
              <w:right w:val="single" w:color="000000" w:sz="4" w:space="0"/>
            </w:tcBorders>
            <w:vAlign w:val="bottom"/>
          </w:tcPr>
          <w:p>
            <w:pPr>
              <w:spacing w:line="6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1107.61</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222.73</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514.45</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107.5</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1414.46</w:t>
            </w:r>
          </w:p>
        </w:tc>
      </w:tr>
      <w:tr>
        <w:tblPrEx>
          <w:tblCellMar>
            <w:top w:w="15" w:type="dxa"/>
            <w:left w:w="15" w:type="dxa"/>
            <w:bottom w:w="15" w:type="dxa"/>
            <w:right w:w="15" w:type="dxa"/>
          </w:tblCellMar>
        </w:tblPrEx>
        <w:trPr>
          <w:trHeight w:val="469" w:hRule="exact"/>
        </w:trPr>
        <w:tc>
          <w:tcPr>
            <w:tcW w:w="246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  商品和服务支出</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572.36</w:t>
            </w:r>
          </w:p>
        </w:tc>
        <w:tc>
          <w:tcPr>
            <w:tcW w:w="968" w:type="dxa"/>
            <w:tcBorders>
              <w:top w:val="single" w:color="000000" w:sz="4" w:space="0"/>
              <w:left w:val="single" w:color="000000" w:sz="4" w:space="0"/>
              <w:bottom w:val="single" w:color="000000" w:sz="4" w:space="0"/>
              <w:right w:val="single" w:color="000000" w:sz="4" w:space="0"/>
            </w:tcBorders>
            <w:vAlign w:val="bottom"/>
          </w:tcPr>
          <w:p>
            <w:pPr>
              <w:spacing w:line="6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279.36</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39.35</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42.27</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32.12</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179.26</w:t>
            </w:r>
          </w:p>
        </w:tc>
      </w:tr>
      <w:tr>
        <w:tblPrEx>
          <w:tblCellMar>
            <w:top w:w="15" w:type="dxa"/>
            <w:left w:w="15" w:type="dxa"/>
            <w:bottom w:w="15" w:type="dxa"/>
            <w:right w:w="15" w:type="dxa"/>
          </w:tblCellMar>
        </w:tblPrEx>
        <w:trPr>
          <w:trHeight w:val="466" w:hRule="exact"/>
        </w:trPr>
        <w:tc>
          <w:tcPr>
            <w:tcW w:w="246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  对个人和家庭的补助</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457.67</w:t>
            </w:r>
          </w:p>
        </w:tc>
        <w:tc>
          <w:tcPr>
            <w:tcW w:w="968" w:type="dxa"/>
            <w:tcBorders>
              <w:top w:val="single" w:color="000000" w:sz="4" w:space="0"/>
              <w:left w:val="single" w:color="000000" w:sz="4" w:space="0"/>
              <w:bottom w:val="single" w:color="000000" w:sz="4" w:space="0"/>
              <w:right w:val="single" w:color="000000" w:sz="4" w:space="0"/>
            </w:tcBorders>
            <w:vAlign w:val="bottom"/>
          </w:tcPr>
          <w:p>
            <w:pPr>
              <w:spacing w:line="6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448.21</w:t>
            </w:r>
          </w:p>
        </w:tc>
        <w:tc>
          <w:tcPr>
            <w:tcW w:w="908"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0.16</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9.3</w:t>
            </w:r>
          </w:p>
        </w:tc>
      </w:tr>
      <w:tr>
        <w:tblPrEx>
          <w:tblCellMar>
            <w:top w:w="15" w:type="dxa"/>
            <w:left w:w="15" w:type="dxa"/>
            <w:bottom w:w="15" w:type="dxa"/>
            <w:right w:w="15" w:type="dxa"/>
          </w:tblCellMar>
        </w:tblPrEx>
        <w:trPr>
          <w:trHeight w:val="454" w:hRule="exact"/>
        </w:trPr>
        <w:tc>
          <w:tcPr>
            <w:tcW w:w="246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项目支出</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1278.88</w:t>
            </w:r>
          </w:p>
        </w:tc>
        <w:tc>
          <w:tcPr>
            <w:tcW w:w="968" w:type="dxa"/>
            <w:tcBorders>
              <w:top w:val="single" w:color="000000" w:sz="4" w:space="0"/>
              <w:left w:val="single" w:color="000000" w:sz="4" w:space="0"/>
              <w:bottom w:val="single" w:color="000000" w:sz="4" w:space="0"/>
              <w:right w:val="single" w:color="000000" w:sz="4" w:space="0"/>
            </w:tcBorders>
            <w:vAlign w:val="bottom"/>
          </w:tcPr>
          <w:p>
            <w:pPr>
              <w:spacing w:line="6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925.81</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72.6</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147.34</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59.31</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73.82</w:t>
            </w:r>
          </w:p>
        </w:tc>
      </w:tr>
      <w:tr>
        <w:tblPrEx>
          <w:tblCellMar>
            <w:top w:w="15" w:type="dxa"/>
            <w:left w:w="15" w:type="dxa"/>
            <w:bottom w:w="15" w:type="dxa"/>
            <w:right w:w="15" w:type="dxa"/>
          </w:tblCellMar>
        </w:tblPrEx>
        <w:trPr>
          <w:trHeight w:val="454" w:hRule="exact"/>
        </w:trPr>
        <w:tc>
          <w:tcPr>
            <w:tcW w:w="246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支出合计</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5675.66</w:t>
            </w:r>
          </w:p>
        </w:tc>
        <w:tc>
          <w:tcPr>
            <w:tcW w:w="968" w:type="dxa"/>
            <w:tcBorders>
              <w:top w:val="single" w:color="000000" w:sz="4" w:space="0"/>
              <w:left w:val="single" w:color="000000" w:sz="4" w:space="0"/>
              <w:bottom w:val="single" w:color="000000" w:sz="4" w:space="0"/>
              <w:right w:val="single" w:color="000000" w:sz="4" w:space="0"/>
            </w:tcBorders>
            <w:vAlign w:val="bottom"/>
          </w:tcPr>
          <w:p>
            <w:pPr>
              <w:spacing w:line="6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2760.99</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334.68</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704.06</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199.09</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1676.84</w:t>
            </w:r>
          </w:p>
        </w:tc>
      </w:tr>
      <w:bookmarkEnd w:id="0"/>
    </w:tbl>
    <w:p>
      <w:pPr>
        <w:spacing w:line="600" w:lineRule="exact"/>
        <w:ind w:firstLine="640" w:firstLineChars="200"/>
        <w:rPr>
          <w:rFonts w:ascii="仿宋" w:hAnsi="仿宋" w:eastAsia="仿宋" w:cs="仿宋"/>
          <w:b/>
          <w:sz w:val="32"/>
          <w:szCs w:val="32"/>
        </w:rPr>
      </w:pPr>
      <w:r>
        <w:rPr>
          <w:rFonts w:hint="eastAsia" w:ascii="仿宋" w:hAnsi="仿宋" w:eastAsia="仿宋" w:cs="仿宋"/>
          <w:b/>
          <w:sz w:val="32"/>
          <w:szCs w:val="32"/>
        </w:rPr>
        <w:t>（二）2019年预算追加(调整)情况（万元）</w:t>
      </w:r>
    </w:p>
    <w:tbl>
      <w:tblPr>
        <w:tblStyle w:val="4"/>
        <w:tblW w:w="0" w:type="auto"/>
        <w:tblInd w:w="0" w:type="dxa"/>
        <w:tblLayout w:type="fixed"/>
        <w:tblCellMar>
          <w:top w:w="15" w:type="dxa"/>
          <w:left w:w="15" w:type="dxa"/>
          <w:bottom w:w="15" w:type="dxa"/>
          <w:right w:w="15" w:type="dxa"/>
        </w:tblCellMar>
      </w:tblPr>
      <w:tblGrid>
        <w:gridCol w:w="2469"/>
        <w:gridCol w:w="943"/>
        <w:gridCol w:w="968"/>
        <w:gridCol w:w="966"/>
        <w:gridCol w:w="1062"/>
        <w:gridCol w:w="966"/>
        <w:gridCol w:w="968"/>
      </w:tblGrid>
      <w:tr>
        <w:tblPrEx>
          <w:tblCellMar>
            <w:top w:w="15" w:type="dxa"/>
            <w:left w:w="15" w:type="dxa"/>
            <w:bottom w:w="15" w:type="dxa"/>
            <w:right w:w="15" w:type="dxa"/>
          </w:tblCellMar>
        </w:tblPrEx>
        <w:trPr>
          <w:trHeight w:val="920" w:hRule="atLeast"/>
        </w:trPr>
        <w:tc>
          <w:tcPr>
            <w:tcW w:w="2469" w:type="dxa"/>
            <w:tcBorders>
              <w:top w:val="single" w:color="000000" w:sz="4" w:space="0"/>
              <w:left w:val="single" w:color="000000" w:sz="4" w:space="0"/>
              <w:bottom w:val="single" w:color="000000" w:sz="4" w:space="0"/>
              <w:right w:val="single" w:color="000000" w:sz="4" w:space="0"/>
            </w:tcBorders>
            <w:vAlign w:val="center"/>
          </w:tcPr>
          <w:p>
            <w:pPr>
              <w:spacing w:line="600" w:lineRule="exact"/>
              <w:rPr>
                <w:rFonts w:ascii="仿宋" w:hAnsi="仿宋" w:eastAsia="仿宋" w:cs="仿宋"/>
                <w:color w:val="000000"/>
                <w:sz w:val="24"/>
                <w:szCs w:val="24"/>
              </w:rPr>
            </w:pP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小计</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局机关</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路政支队</w:t>
            </w: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谢林港检测站</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公路检测中心</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应急抢险中心</w:t>
            </w:r>
          </w:p>
        </w:tc>
      </w:tr>
      <w:tr>
        <w:tblPrEx>
          <w:tblCellMar>
            <w:top w:w="15" w:type="dxa"/>
            <w:left w:w="15" w:type="dxa"/>
            <w:bottom w:w="15" w:type="dxa"/>
            <w:right w:w="15" w:type="dxa"/>
          </w:tblCellMar>
        </w:tblPrEx>
        <w:trPr>
          <w:trHeight w:val="454" w:hRule="exact"/>
        </w:trPr>
        <w:tc>
          <w:tcPr>
            <w:tcW w:w="246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基本支出</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-392.65</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541.44</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23.42</w:t>
            </w: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-37.32</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-6.85</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-913.34</w:t>
            </w:r>
          </w:p>
        </w:tc>
      </w:tr>
      <w:tr>
        <w:tblPrEx>
          <w:tblCellMar>
            <w:top w:w="15" w:type="dxa"/>
            <w:left w:w="15" w:type="dxa"/>
            <w:bottom w:w="15" w:type="dxa"/>
            <w:right w:w="15" w:type="dxa"/>
          </w:tblCellMar>
        </w:tblPrEx>
        <w:trPr>
          <w:trHeight w:val="454" w:hRule="exact"/>
        </w:trPr>
        <w:tc>
          <w:tcPr>
            <w:tcW w:w="246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项目支出</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19373.55</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19709.28</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-72.6</w:t>
            </w: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-130</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-59.31</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-73.82</w:t>
            </w:r>
          </w:p>
        </w:tc>
      </w:tr>
      <w:tr>
        <w:tblPrEx>
          <w:tblCellMar>
            <w:top w:w="15" w:type="dxa"/>
            <w:left w:w="15" w:type="dxa"/>
            <w:bottom w:w="15" w:type="dxa"/>
            <w:right w:w="15" w:type="dxa"/>
          </w:tblCellMar>
        </w:tblPrEx>
        <w:trPr>
          <w:trHeight w:val="454" w:hRule="exact"/>
        </w:trPr>
        <w:tc>
          <w:tcPr>
            <w:tcW w:w="2469"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支出合计</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fldChar w:fldCharType="begin"/>
            </w:r>
            <w:r>
              <w:rPr>
                <w:rFonts w:hint="eastAsia" w:ascii="仿宋" w:hAnsi="仿宋" w:eastAsia="仿宋" w:cs="仿宋"/>
                <w:color w:val="000000"/>
                <w:kern w:val="0"/>
                <w:sz w:val="24"/>
                <w:szCs w:val="24"/>
              </w:rPr>
              <w:instrText xml:space="preserve"> = sum(B2:B3) \* MERGEFORMAT </w:instrText>
            </w:r>
            <w:r>
              <w:rPr>
                <w:rFonts w:hint="eastAsia" w:ascii="仿宋" w:hAnsi="仿宋" w:eastAsia="仿宋" w:cs="仿宋"/>
                <w:color w:val="000000"/>
                <w:kern w:val="0"/>
                <w:sz w:val="24"/>
                <w:szCs w:val="24"/>
              </w:rPr>
              <w:fldChar w:fldCharType="separate"/>
            </w:r>
            <w:r>
              <w:rPr>
                <w:rFonts w:hint="eastAsia" w:ascii="仿宋" w:hAnsi="仿宋" w:eastAsia="仿宋" w:cs="仿宋"/>
                <w:color w:val="000000"/>
                <w:kern w:val="0"/>
                <w:sz w:val="24"/>
                <w:szCs w:val="24"/>
              </w:rPr>
              <w:t>18980.9</w:t>
            </w:r>
            <w:r>
              <w:rPr>
                <w:rFonts w:hint="eastAsia" w:ascii="仿宋" w:hAnsi="仿宋" w:eastAsia="仿宋" w:cs="仿宋"/>
                <w:color w:val="000000"/>
                <w:kern w:val="0"/>
                <w:sz w:val="24"/>
                <w:szCs w:val="24"/>
              </w:rPr>
              <w:fldChar w:fldCharType="end"/>
            </w:r>
            <w:r>
              <w:rPr>
                <w:rFonts w:hint="eastAsia" w:ascii="仿宋" w:hAnsi="仿宋" w:eastAsia="仿宋" w:cs="仿宋"/>
                <w:color w:val="000000"/>
                <w:kern w:val="0"/>
                <w:sz w:val="24"/>
                <w:szCs w:val="24"/>
              </w:rPr>
              <w:t>0</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fldChar w:fldCharType="begin"/>
            </w:r>
            <w:r>
              <w:rPr>
                <w:rFonts w:hint="eastAsia" w:ascii="仿宋" w:hAnsi="仿宋" w:eastAsia="仿宋" w:cs="仿宋"/>
                <w:color w:val="000000"/>
                <w:kern w:val="0"/>
                <w:sz w:val="24"/>
                <w:szCs w:val="24"/>
              </w:rPr>
              <w:instrText xml:space="preserve"> = sum(C2:C3) \* MERGEFORMAT </w:instrText>
            </w:r>
            <w:r>
              <w:rPr>
                <w:rFonts w:hint="eastAsia" w:ascii="仿宋" w:hAnsi="仿宋" w:eastAsia="仿宋" w:cs="仿宋"/>
                <w:color w:val="000000"/>
                <w:kern w:val="0"/>
                <w:sz w:val="24"/>
                <w:szCs w:val="24"/>
              </w:rPr>
              <w:fldChar w:fldCharType="separate"/>
            </w:r>
            <w:r>
              <w:rPr>
                <w:rFonts w:hint="eastAsia" w:ascii="仿宋" w:hAnsi="仿宋" w:eastAsia="仿宋" w:cs="仿宋"/>
                <w:color w:val="000000"/>
                <w:kern w:val="0"/>
                <w:sz w:val="24"/>
                <w:szCs w:val="24"/>
              </w:rPr>
              <w:t>20250.72</w:t>
            </w:r>
            <w:r>
              <w:rPr>
                <w:rFonts w:hint="eastAsia" w:ascii="仿宋" w:hAnsi="仿宋" w:eastAsia="仿宋" w:cs="仿宋"/>
                <w:color w:val="000000"/>
                <w:kern w:val="0"/>
                <w:sz w:val="24"/>
                <w:szCs w:val="24"/>
              </w:rPr>
              <w:fldChar w:fldCharType="end"/>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fldChar w:fldCharType="begin"/>
            </w:r>
            <w:r>
              <w:rPr>
                <w:rFonts w:hint="eastAsia" w:ascii="仿宋" w:hAnsi="仿宋" w:eastAsia="仿宋" w:cs="仿宋"/>
                <w:color w:val="000000"/>
                <w:kern w:val="0"/>
                <w:sz w:val="24"/>
                <w:szCs w:val="24"/>
              </w:rPr>
              <w:instrText xml:space="preserve"> = sum(D2:D3) \* MERGEFORMAT </w:instrText>
            </w:r>
            <w:r>
              <w:rPr>
                <w:rFonts w:hint="eastAsia" w:ascii="仿宋" w:hAnsi="仿宋" w:eastAsia="仿宋" w:cs="仿宋"/>
                <w:color w:val="000000"/>
                <w:kern w:val="0"/>
                <w:sz w:val="24"/>
                <w:szCs w:val="24"/>
              </w:rPr>
              <w:fldChar w:fldCharType="separate"/>
            </w:r>
            <w:r>
              <w:rPr>
                <w:rFonts w:hint="eastAsia" w:ascii="仿宋" w:hAnsi="仿宋" w:eastAsia="仿宋" w:cs="仿宋"/>
                <w:color w:val="000000"/>
                <w:kern w:val="0"/>
                <w:sz w:val="24"/>
                <w:szCs w:val="24"/>
              </w:rPr>
              <w:t>-49.18</w:t>
            </w:r>
            <w:r>
              <w:rPr>
                <w:rFonts w:hint="eastAsia" w:ascii="仿宋" w:hAnsi="仿宋" w:eastAsia="仿宋" w:cs="仿宋"/>
                <w:color w:val="000000"/>
                <w:kern w:val="0"/>
                <w:sz w:val="24"/>
                <w:szCs w:val="24"/>
              </w:rPr>
              <w:fldChar w:fldCharType="end"/>
            </w:r>
          </w:p>
        </w:tc>
        <w:tc>
          <w:tcPr>
            <w:tcW w:w="106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fldChar w:fldCharType="begin"/>
            </w:r>
            <w:r>
              <w:rPr>
                <w:rFonts w:hint="eastAsia" w:ascii="仿宋" w:hAnsi="仿宋" w:eastAsia="仿宋" w:cs="仿宋"/>
                <w:color w:val="000000"/>
                <w:kern w:val="0"/>
                <w:sz w:val="24"/>
                <w:szCs w:val="24"/>
              </w:rPr>
              <w:instrText xml:space="preserve"> = sum(E2:E3) \* MERGEFORMAT </w:instrText>
            </w:r>
            <w:r>
              <w:rPr>
                <w:rFonts w:hint="eastAsia" w:ascii="仿宋" w:hAnsi="仿宋" w:eastAsia="仿宋" w:cs="仿宋"/>
                <w:color w:val="000000"/>
                <w:kern w:val="0"/>
                <w:sz w:val="24"/>
                <w:szCs w:val="24"/>
              </w:rPr>
              <w:fldChar w:fldCharType="separate"/>
            </w:r>
            <w:r>
              <w:rPr>
                <w:rFonts w:hint="eastAsia" w:ascii="仿宋" w:hAnsi="仿宋" w:eastAsia="仿宋" w:cs="仿宋"/>
                <w:color w:val="000000"/>
                <w:kern w:val="0"/>
                <w:sz w:val="24"/>
                <w:szCs w:val="24"/>
              </w:rPr>
              <w:t>-167.32</w:t>
            </w:r>
            <w:r>
              <w:rPr>
                <w:rFonts w:hint="eastAsia" w:ascii="仿宋" w:hAnsi="仿宋" w:eastAsia="仿宋" w:cs="仿宋"/>
                <w:color w:val="000000"/>
                <w:kern w:val="0"/>
                <w:sz w:val="24"/>
                <w:szCs w:val="24"/>
              </w:rPr>
              <w:fldChar w:fldCharType="end"/>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fldChar w:fldCharType="begin"/>
            </w:r>
            <w:r>
              <w:rPr>
                <w:rFonts w:hint="eastAsia" w:ascii="仿宋" w:hAnsi="仿宋" w:eastAsia="仿宋" w:cs="仿宋"/>
                <w:color w:val="000000"/>
                <w:kern w:val="0"/>
                <w:sz w:val="24"/>
                <w:szCs w:val="24"/>
              </w:rPr>
              <w:instrText xml:space="preserve"> = sum(F2:F3) \* MERGEFORMAT </w:instrText>
            </w:r>
            <w:r>
              <w:rPr>
                <w:rFonts w:hint="eastAsia" w:ascii="仿宋" w:hAnsi="仿宋" w:eastAsia="仿宋" w:cs="仿宋"/>
                <w:color w:val="000000"/>
                <w:kern w:val="0"/>
                <w:sz w:val="24"/>
                <w:szCs w:val="24"/>
              </w:rPr>
              <w:fldChar w:fldCharType="separate"/>
            </w:r>
            <w:r>
              <w:rPr>
                <w:rFonts w:hint="eastAsia" w:ascii="仿宋" w:hAnsi="仿宋" w:eastAsia="仿宋" w:cs="仿宋"/>
                <w:color w:val="000000"/>
                <w:kern w:val="0"/>
                <w:sz w:val="24"/>
                <w:szCs w:val="24"/>
              </w:rPr>
              <w:t>-66.16</w:t>
            </w:r>
            <w:r>
              <w:rPr>
                <w:rFonts w:hint="eastAsia" w:ascii="仿宋" w:hAnsi="仿宋" w:eastAsia="仿宋" w:cs="仿宋"/>
                <w:color w:val="000000"/>
                <w:kern w:val="0"/>
                <w:sz w:val="24"/>
                <w:szCs w:val="24"/>
              </w:rPr>
              <w:fldChar w:fldCharType="end"/>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fldChar w:fldCharType="begin"/>
            </w:r>
            <w:r>
              <w:rPr>
                <w:rFonts w:hint="eastAsia" w:ascii="仿宋" w:hAnsi="仿宋" w:eastAsia="仿宋" w:cs="仿宋"/>
                <w:color w:val="000000"/>
                <w:kern w:val="0"/>
                <w:sz w:val="24"/>
                <w:szCs w:val="24"/>
              </w:rPr>
              <w:instrText xml:space="preserve"> = sum(G2:G3) \* MERGEFORMAT </w:instrText>
            </w:r>
            <w:r>
              <w:rPr>
                <w:rFonts w:hint="eastAsia" w:ascii="仿宋" w:hAnsi="仿宋" w:eastAsia="仿宋" w:cs="仿宋"/>
                <w:color w:val="000000"/>
                <w:kern w:val="0"/>
                <w:sz w:val="24"/>
                <w:szCs w:val="24"/>
              </w:rPr>
              <w:fldChar w:fldCharType="separate"/>
            </w:r>
            <w:r>
              <w:rPr>
                <w:rFonts w:hint="eastAsia" w:ascii="仿宋" w:hAnsi="仿宋" w:eastAsia="仿宋" w:cs="仿宋"/>
                <w:color w:val="000000"/>
                <w:kern w:val="0"/>
                <w:sz w:val="24"/>
                <w:szCs w:val="24"/>
              </w:rPr>
              <w:t>-987.16</w:t>
            </w:r>
            <w:r>
              <w:rPr>
                <w:rFonts w:hint="eastAsia" w:ascii="仿宋" w:hAnsi="仿宋" w:eastAsia="仿宋" w:cs="仿宋"/>
                <w:color w:val="000000"/>
                <w:kern w:val="0"/>
                <w:sz w:val="24"/>
                <w:szCs w:val="24"/>
              </w:rPr>
              <w:fldChar w:fldCharType="end"/>
            </w:r>
          </w:p>
        </w:tc>
      </w:tr>
    </w:tbl>
    <w:p>
      <w:pPr>
        <w:spacing w:line="600" w:lineRule="exact"/>
        <w:ind w:firstLine="640" w:firstLineChars="200"/>
        <w:rPr>
          <w:rFonts w:ascii="仿宋" w:hAnsi="仿宋" w:eastAsia="仿宋" w:cs="仿宋"/>
          <w:b/>
          <w:sz w:val="32"/>
          <w:szCs w:val="32"/>
        </w:rPr>
      </w:pPr>
      <w:r>
        <w:rPr>
          <w:rFonts w:hint="eastAsia" w:ascii="仿宋" w:hAnsi="仿宋" w:eastAsia="仿宋" w:cs="仿宋"/>
          <w:b/>
          <w:sz w:val="32"/>
          <w:szCs w:val="32"/>
        </w:rPr>
        <w:t>（三）2019年度部门决算情况（万元）</w:t>
      </w:r>
    </w:p>
    <w:tbl>
      <w:tblPr>
        <w:tblStyle w:val="4"/>
        <w:tblW w:w="0" w:type="auto"/>
        <w:tblInd w:w="0" w:type="dxa"/>
        <w:tblLayout w:type="fixed"/>
        <w:tblCellMar>
          <w:top w:w="15" w:type="dxa"/>
          <w:left w:w="15" w:type="dxa"/>
          <w:bottom w:w="15" w:type="dxa"/>
          <w:right w:w="15" w:type="dxa"/>
        </w:tblCellMar>
      </w:tblPr>
      <w:tblGrid>
        <w:gridCol w:w="2121"/>
        <w:gridCol w:w="1167"/>
        <w:gridCol w:w="1050"/>
        <w:gridCol w:w="983"/>
        <w:gridCol w:w="1267"/>
        <w:gridCol w:w="933"/>
        <w:gridCol w:w="821"/>
      </w:tblGrid>
      <w:tr>
        <w:tblPrEx>
          <w:tblCellMar>
            <w:top w:w="15" w:type="dxa"/>
            <w:left w:w="15" w:type="dxa"/>
            <w:bottom w:w="15" w:type="dxa"/>
            <w:right w:w="15" w:type="dxa"/>
          </w:tblCellMar>
        </w:tblPrEx>
        <w:trPr>
          <w:trHeight w:val="480" w:hRule="atLeast"/>
        </w:trPr>
        <w:tc>
          <w:tcPr>
            <w:tcW w:w="2121" w:type="dxa"/>
            <w:tcBorders>
              <w:top w:val="single" w:color="000000" w:sz="4" w:space="0"/>
              <w:left w:val="single" w:color="000000" w:sz="4" w:space="0"/>
              <w:bottom w:val="single" w:color="000000" w:sz="4" w:space="0"/>
              <w:right w:val="single" w:color="000000" w:sz="4" w:space="0"/>
            </w:tcBorders>
            <w:vAlign w:val="center"/>
          </w:tcPr>
          <w:p>
            <w:pPr>
              <w:spacing w:line="600" w:lineRule="exact"/>
              <w:rPr>
                <w:rFonts w:ascii="仿宋" w:hAnsi="仿宋" w:eastAsia="仿宋" w:cs="仿宋"/>
                <w:color w:val="000000"/>
                <w:sz w:val="24"/>
                <w:szCs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小计</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局机关</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路政支队</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谢林港检测站</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公路检测中心</w:t>
            </w: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应急抢险中心</w:t>
            </w:r>
          </w:p>
        </w:tc>
      </w:tr>
      <w:tr>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基本支出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4004.13</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2376.62</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285.5</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519.4</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132.93</w:t>
            </w: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689.68</w:t>
            </w:r>
          </w:p>
        </w:tc>
      </w:tr>
      <w:tr>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  工资福利支出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2756.69</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1248.02</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225.15</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481.69</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117.2</w:t>
            </w: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684.63</w:t>
            </w:r>
          </w:p>
        </w:tc>
      </w:tr>
      <w:tr>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  商品和服务支出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644.65</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541.38</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60.35</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28.27</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14.65</w:t>
            </w:r>
          </w:p>
        </w:tc>
        <w:tc>
          <w:tcPr>
            <w:tcW w:w="821" w:type="dxa"/>
            <w:tcBorders>
              <w:top w:val="single" w:color="000000" w:sz="4" w:space="0"/>
              <w:left w:val="single" w:color="000000" w:sz="4" w:space="0"/>
              <w:bottom w:val="single" w:color="000000" w:sz="4" w:space="0"/>
              <w:right w:val="single" w:color="000000" w:sz="4" w:space="0"/>
            </w:tcBorders>
          </w:tcPr>
          <w:p>
            <w:pPr>
              <w:spacing w:line="600" w:lineRule="exact"/>
              <w:jc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  对个人和家庭的补助</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586.97</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572.48</w:t>
            </w: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9.44</w:t>
            </w:r>
          </w:p>
        </w:tc>
        <w:tc>
          <w:tcPr>
            <w:tcW w:w="93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5.05</w:t>
            </w:r>
          </w:p>
        </w:tc>
      </w:tr>
      <w:tr>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  其他资本性支出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15.82</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14.74</w:t>
            </w: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1.08</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项目支出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20652.43</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20635.09</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0</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17.34</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0</w:t>
            </w: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0</w:t>
            </w:r>
          </w:p>
        </w:tc>
      </w:tr>
      <w:tr>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ind w:firstLine="240" w:firstLineChars="10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农林水支出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0.95</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0.95</w:t>
            </w: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ind w:firstLine="240" w:firstLineChars="10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公路养护</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20609.14</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20609.14</w:t>
            </w: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ind w:firstLine="240" w:firstLineChars="10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其他公路水路运输支出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20</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20</w:t>
            </w: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ind w:firstLine="240" w:firstLineChars="10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其他交通运输支出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22.34</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5</w:t>
            </w: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17.34</w:t>
            </w:r>
          </w:p>
        </w:tc>
        <w:tc>
          <w:tcPr>
            <w:tcW w:w="93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ind w:firstLine="240" w:firstLineChars="10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资源勘探开发</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sz w:val="24"/>
                <w:szCs w:val="24"/>
              </w:rPr>
            </w:pP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ind w:firstLine="240" w:firstLineChars="10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安全生产监管</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仿宋" w:hAnsi="仿宋" w:eastAsia="仿宋" w:cs="仿宋"/>
                <w:color w:val="000000"/>
                <w:sz w:val="24"/>
                <w:szCs w:val="24"/>
              </w:rPr>
            </w:pPr>
          </w:p>
        </w:tc>
      </w:tr>
      <w:tr>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支出合计</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24656.56</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23011.71</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285.5</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536.74</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132.93</w:t>
            </w:r>
          </w:p>
        </w:tc>
        <w:tc>
          <w:tcPr>
            <w:tcW w:w="821"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689.68</w:t>
            </w:r>
          </w:p>
        </w:tc>
      </w:tr>
    </w:tbl>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从整体情况来看，益阳市公路管理局基本在支出过程中，能遵守各项规章制度，严格控制费用开支，项目支出均下达了投资计划，基本按计划组织实施，并加强了监督，达到了节约、高效的支出目标。</w:t>
      </w:r>
    </w:p>
    <w:p>
      <w:pPr>
        <w:spacing w:line="600" w:lineRule="exact"/>
        <w:ind w:firstLine="640" w:firstLineChars="200"/>
        <w:rPr>
          <w:rFonts w:ascii="仿宋" w:hAnsi="仿宋" w:eastAsia="仿宋" w:cs="仿宋"/>
          <w:b/>
          <w:sz w:val="32"/>
          <w:szCs w:val="32"/>
        </w:rPr>
      </w:pPr>
      <w:r>
        <w:rPr>
          <w:rFonts w:hint="eastAsia" w:ascii="仿宋" w:hAnsi="仿宋" w:eastAsia="仿宋" w:cs="仿宋"/>
          <w:b/>
          <w:sz w:val="32"/>
          <w:szCs w:val="32"/>
        </w:rPr>
        <w:t>二、绩效评价工作情况</w:t>
      </w:r>
    </w:p>
    <w:p>
      <w:pPr>
        <w:spacing w:line="600" w:lineRule="exact"/>
        <w:ind w:firstLine="640" w:firstLineChars="200"/>
        <w:rPr>
          <w:rFonts w:ascii="仿宋" w:hAnsi="仿宋" w:eastAsia="仿宋" w:cs="仿宋"/>
          <w:b/>
          <w:sz w:val="32"/>
          <w:szCs w:val="32"/>
        </w:rPr>
      </w:pPr>
      <w:r>
        <w:rPr>
          <w:rFonts w:hint="eastAsia" w:ascii="仿宋" w:hAnsi="仿宋" w:eastAsia="仿宋" w:cs="仿宋"/>
          <w:b/>
          <w:sz w:val="32"/>
          <w:szCs w:val="32"/>
        </w:rPr>
        <w:t>（一）绩效评价目的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此次绩效评价的目的是：严格落实《预算法》及省、市绩效管理工作的有关规定，进一步规范财政资金的管理，不断增强预算绩效理念，强化部门支出责任，推进全面实施预算绩效管理，提高财政资金使用效益。</w:t>
      </w:r>
    </w:p>
    <w:p>
      <w:pPr>
        <w:spacing w:line="600" w:lineRule="exact"/>
        <w:ind w:firstLine="640" w:firstLineChars="200"/>
        <w:rPr>
          <w:rFonts w:ascii="仿宋" w:hAnsi="仿宋" w:eastAsia="仿宋" w:cs="仿宋"/>
          <w:b/>
          <w:sz w:val="32"/>
          <w:szCs w:val="32"/>
        </w:rPr>
      </w:pPr>
      <w:r>
        <w:rPr>
          <w:rFonts w:hint="eastAsia" w:ascii="仿宋" w:hAnsi="仿宋" w:eastAsia="仿宋" w:cs="仿宋"/>
          <w:b/>
          <w:sz w:val="32"/>
          <w:szCs w:val="32"/>
        </w:rPr>
        <w:t>（二）绩效评价的主要过程</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绩效评价的要求，益阳市公路管理局成立了自评工作领导小组，由姚雪华任组长，林小平、吴蜀湘任副组长，高跃峰、徐志刚、刘新桥任成员，领导小组下设办公室，由高跃峰任办公室主任。办公室负责绩效评价工作的具体实施，领导小组制定了绩效自评工作方案，对照自评方案进行研究和布署，益阳市公路管理局领导及相关部门全程参与，并委托益阳中天会计师事务所协助自评，按照自评方案的要求，对照各实施项目的内容逐条逐项自评。在自评过程发现问题，查找原因，积极整改，为下一步工作夯实基础。</w:t>
      </w:r>
    </w:p>
    <w:p>
      <w:pPr>
        <w:spacing w:line="600" w:lineRule="exact"/>
        <w:ind w:firstLine="640" w:firstLineChars="200"/>
        <w:rPr>
          <w:rFonts w:ascii="仿宋" w:hAnsi="仿宋" w:eastAsia="仿宋" w:cs="仿宋"/>
          <w:sz w:val="32"/>
          <w:szCs w:val="32"/>
        </w:rPr>
      </w:pPr>
      <w:r>
        <w:rPr>
          <w:rFonts w:hint="eastAsia" w:ascii="仿宋" w:hAnsi="仿宋" w:eastAsia="仿宋" w:cs="仿宋"/>
          <w:b/>
          <w:bCs/>
          <w:sz w:val="32"/>
          <w:szCs w:val="32"/>
        </w:rPr>
        <w:t>三、主要绩效及评价结论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2019年，全市公路系统紧紧围绕年度目标任务，积极参与交通大会战，按照全面实施的三大工程，切实加强三大养护，强力推进治超工作，扎实推进农村公路建设管养工作，持续提升安全生产水平，全面加强党的建设的工作部署，主动作为，扎实工作，圆满地完成了各项工作目标任务。</w:t>
      </w:r>
    </w:p>
    <w:p>
      <w:pPr>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b/>
          <w:bCs/>
          <w:sz w:val="32"/>
          <w:szCs w:val="32"/>
        </w:rPr>
        <w:t>项目建设有力推进</w:t>
      </w:r>
    </w:p>
    <w:p>
      <w:pPr>
        <w:spacing w:line="600" w:lineRule="exact"/>
        <w:ind w:firstLine="960" w:firstLineChars="300"/>
        <w:rPr>
          <w:rFonts w:ascii="仿宋" w:hAnsi="仿宋" w:eastAsia="仿宋" w:cs="仿宋"/>
          <w:sz w:val="32"/>
          <w:szCs w:val="32"/>
        </w:rPr>
      </w:pPr>
      <w:r>
        <w:rPr>
          <w:rFonts w:hint="eastAsia" w:ascii="仿宋" w:hAnsi="仿宋" w:eastAsia="仿宋" w:cs="仿宋"/>
          <w:sz w:val="32"/>
          <w:szCs w:val="32"/>
        </w:rPr>
        <w:t>1、干线公路大中修。通过推行招投标制、项目法人制、合同管理制、施工监理制、验收考核制等举措，细化前期工作，创新管理模式，严把工程技术关、质量关、安全关，实现多层有效监管，确保项目圆满完成。2019年，我市争取国省干线大中修（含2018年提前实施项目）计划67.955公里，争取部省补助资金11713万元，占全省补助资金比例13.2%，补助资金比例在全省排名第1。目前，大中修项目已全面完工，工程合格率100%，优良率100%，计划内项目完成总投资14374万元，提前实施预计划大修项目7.904km，完成预计划投资1494万元。</w:t>
      </w:r>
    </w:p>
    <w:p>
      <w:pPr>
        <w:spacing w:line="600" w:lineRule="exact"/>
        <w:ind w:firstLine="960" w:firstLineChars="300"/>
        <w:rPr>
          <w:rFonts w:ascii="仿宋" w:hAnsi="仿宋" w:eastAsia="仿宋" w:cs="仿宋"/>
          <w:sz w:val="32"/>
          <w:szCs w:val="32"/>
        </w:rPr>
      </w:pPr>
      <w:r>
        <w:rPr>
          <w:rFonts w:hint="eastAsia" w:ascii="仿宋" w:hAnsi="仿宋" w:eastAsia="仿宋" w:cs="仿宋"/>
          <w:sz w:val="32"/>
          <w:szCs w:val="32"/>
        </w:rPr>
        <w:t>2、农村公路建设。以“四好农村路”建设活动为抓手，努力在提供农村交通基本服务均等化上寻求新进展，在促进区县（市）人民政府主体责任落实上取得新突破，在筹集农村公路建设发展资金上挖掘新潜力，以质量安全管理为主线，规范农村公路建设管理，推进了农村公路事业的健康有序发展。2019年，省下达我市自然村通水泥（沥青）路和窄路加宽考核目标任务分别为670公里和168公里。截至目前，自然村通水泥（沥青）路完成750.8公里，完成目标任务的112.1%，农村公路窄路加宽完成188.4公里，完成目标任务的112.1%。</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国省道标志牌调整工程。为进一步提升国省道公路网的服务质量，为车辆行人提供更加精确的方向指引，为广大人民群众出行提供更加清晰的、长效性的识别系统，我局对全市范围内18条国省道开展了交通标志调整，共设置标志牌1407块，其中新增单柱式296块，新增悬臂式914块，新增附着式140块，更换悬臂式8块，利用旧标志49块，总投资2692万元。</w:t>
      </w:r>
    </w:p>
    <w:p>
      <w:pPr>
        <w:spacing w:line="600" w:lineRule="exact"/>
        <w:ind w:firstLine="640" w:firstLineChars="200"/>
        <w:rPr>
          <w:rFonts w:ascii="仿宋" w:hAnsi="仿宋" w:eastAsia="仿宋" w:cs="仿宋"/>
          <w:sz w:val="32"/>
          <w:szCs w:val="32"/>
        </w:rPr>
      </w:pPr>
      <w:r>
        <w:rPr>
          <w:rFonts w:hint="eastAsia" w:ascii="仿宋" w:hAnsi="仿宋" w:eastAsia="仿宋" w:cs="仿宋"/>
          <w:b/>
          <w:bCs/>
          <w:sz w:val="32"/>
          <w:szCs w:val="32"/>
        </w:rPr>
        <w:t>（二）公路养护情况</w:t>
      </w:r>
    </w:p>
    <w:p>
      <w:pPr>
        <w:spacing w:line="600" w:lineRule="exact"/>
        <w:ind w:firstLine="960" w:firstLineChars="300"/>
        <w:rPr>
          <w:rFonts w:ascii="仿宋" w:hAnsi="仿宋" w:eastAsia="仿宋" w:cs="仿宋"/>
          <w:sz w:val="32"/>
          <w:szCs w:val="32"/>
        </w:rPr>
      </w:pPr>
      <w:r>
        <w:rPr>
          <w:rFonts w:hint="eastAsia" w:ascii="仿宋" w:hAnsi="仿宋" w:eastAsia="仿宋" w:cs="仿宋"/>
          <w:sz w:val="32"/>
          <w:szCs w:val="32"/>
        </w:rPr>
        <w:t>1、干线公路养护。夯实日常养护基础，抓住桥隧养护环节，重点突出安全防护，着力抓好日常及预防性养护、路网结构改造工程、服务区建设，强化养护工作督查考核，确保养护工作扎实开展。完成危桥改造投资5332万元，完成836.52m/ 22座；完成安保工程投资7437.9万元，完成343.63㎞；完成小修工程投资3341万元；完成预防性养护计划46.49公里；完成服务区建设计划2座，完成投资490万元。</w:t>
      </w:r>
    </w:p>
    <w:p>
      <w:pPr>
        <w:spacing w:line="600" w:lineRule="exact"/>
        <w:ind w:firstLine="960" w:firstLineChars="300"/>
        <w:rPr>
          <w:rFonts w:ascii="仿宋" w:hAnsi="仿宋" w:eastAsia="仿宋" w:cs="仿宋"/>
          <w:sz w:val="32"/>
          <w:szCs w:val="32"/>
        </w:rPr>
      </w:pPr>
      <w:r>
        <w:rPr>
          <w:rFonts w:hint="eastAsia" w:ascii="仿宋" w:hAnsi="仿宋" w:eastAsia="仿宋" w:cs="仿宋"/>
          <w:sz w:val="32"/>
          <w:szCs w:val="32"/>
        </w:rPr>
        <w:t>2、农村公路养护。紧紧围绕省局农村公路管养工作方案要求，充分发挥农村公路在服务乡村振兴战略、打赢脱贫攻坚战中的基础性、先导性作用，以“四好农村路”创建为抓手，全面落实县级人民政府主体责任，建立健全以公共财政投入为主的农村公路管养资金长效保障机制，全力推进农村公路养护管理工作，确保全市农村公路管理水平、路况水平、服务能力不断提升。全市农村公路路面中等路以上比例预计达88.9%（具体比例待第三方检测结果）；完成农村公路安防工程992.5公里；农村公路列养率达100%，县、乡、村道常养率分别达到100%、91%、75%；创建县道文明示范路545.613公里，累计达到25.7%；创建乡、村道文明示范路805.001公里，累计达到6.8%；创建示范乡镇26个；绿化率达89.94%。</w:t>
      </w:r>
    </w:p>
    <w:p>
      <w:pPr>
        <w:spacing w:line="600" w:lineRule="exact"/>
        <w:ind w:firstLine="640" w:firstLineChars="200"/>
        <w:rPr>
          <w:rFonts w:ascii="仿宋" w:hAnsi="仿宋" w:eastAsia="仿宋" w:cs="仿宋"/>
          <w:b/>
          <w:bCs/>
          <w:sz w:val="32"/>
          <w:szCs w:val="32"/>
        </w:rPr>
      </w:pPr>
      <w:r>
        <w:rPr>
          <w:rFonts w:hint="eastAsia" w:ascii="仿宋" w:hAnsi="仿宋" w:eastAsia="仿宋" w:cs="仿宋"/>
          <w:b/>
          <w:bCs/>
          <w:sz w:val="32"/>
          <w:szCs w:val="32"/>
        </w:rPr>
        <w:t>（三）路政工作情况</w:t>
      </w:r>
    </w:p>
    <w:p>
      <w:pPr>
        <w:spacing w:line="600" w:lineRule="exact"/>
        <w:ind w:firstLine="960" w:firstLineChars="300"/>
        <w:rPr>
          <w:rFonts w:ascii="仿宋" w:hAnsi="仿宋" w:eastAsia="仿宋" w:cs="仿宋"/>
          <w:sz w:val="32"/>
          <w:szCs w:val="32"/>
        </w:rPr>
      </w:pPr>
      <w:r>
        <w:rPr>
          <w:rFonts w:hint="eastAsia" w:ascii="仿宋" w:hAnsi="仿宋" w:eastAsia="仿宋" w:cs="仿宋"/>
          <w:sz w:val="32"/>
          <w:szCs w:val="32"/>
        </w:rPr>
        <w:t>坚持以确保公路完好、安全、畅通为中心，以提高科学管理水平、提升服务能力为主线，全面加强车辆超限超载治理，高位推进治超，坚持“四路同治”、源头治理，全面推进科技治超、信用治超、规范治超，做好公路路域环境专项整治活动，营造了公路“畅、安、舒、美”的公路通行环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超限超载治理。市领导多次深入治超一线暗访督查、调度督导全市治超工作，市政府督查室、市治超办对全市治超工作进行了11次明查暗访，全市共检测车辆1326366台次，查处超限超载车辆2801台，卸载超限超载货物34616.97吨，交警扣分2915分，切割非法改（拼）装车辆254辆，全市干线公路超限率下降到了0.2%（省指标1%以下），全市高速公路入口超限率由去年底的0.83%下降到今年10月份的0.09%（省指标0.5%以下）。今年1至10月，全市信息抄告2358份，吊销道路运输证44 本，吊销道路从业资格证11本，扣除诚信分1570分，行政拘留5人。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路域环境整治。2019年，全市共出动宣传车辆92台次，执法人员826人次，开展现场咨询活动15次，设置流动宣传咨询台120处，发放宣传资料20000份，悬挂宣传横幅250余条，制作宣传展板14块，通过媒体报道4次，发送宣传短信600多条，进驻重点货运源头企业宣传39家，开展超限超载专项整治行动12次，全市共查处违法案件54起。</w:t>
      </w:r>
    </w:p>
    <w:p>
      <w:pPr>
        <w:spacing w:line="600" w:lineRule="exact"/>
        <w:ind w:firstLine="640" w:firstLineChars="200"/>
        <w:rPr>
          <w:rFonts w:ascii="仿宋" w:hAnsi="仿宋" w:eastAsia="仿宋" w:cs="仿宋"/>
          <w:sz w:val="32"/>
          <w:szCs w:val="32"/>
        </w:rPr>
      </w:pPr>
      <w:r>
        <w:rPr>
          <w:rFonts w:hint="eastAsia" w:ascii="仿宋" w:hAnsi="仿宋" w:eastAsia="仿宋" w:cs="仿宋"/>
          <w:b/>
          <w:bCs/>
          <w:sz w:val="32"/>
          <w:szCs w:val="32"/>
        </w:rPr>
        <w:t>（四）脱贫攻坚有序推进</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今年是进驻桃江县松木塘镇三节塘村帮扶工作的第二年，也是巩固脱贫成果，继续完善基础设施建设，推进“美丽乡村”建设、农村人居环境整治的一年。我局党委高度重视扶贫工作，全年组织相关部门召开现场办公会、调度会4次，主要领导12次、分管领导14次到村上走访调研，党委班子成员12次走访结对帮扶贫困户。在全体党员中开展优秀党员评比活动，在全村开展争创“十星级文明农户”活动，召开农副产品展销会，鼓励、指导贫困户发展产业。完成村组道路破碎板处理625平方米，加宽错车道5处，修复河堤332立方米，安装路灯137盏，改造危桥1座，完成杨柳溪青山潭电力台区项目、杨柳溪后公湾组农田项目。</w:t>
      </w:r>
    </w:p>
    <w:p>
      <w:pPr>
        <w:spacing w:line="600" w:lineRule="exact"/>
        <w:ind w:firstLine="640" w:firstLineChars="200"/>
        <w:rPr>
          <w:rFonts w:ascii="仿宋" w:hAnsi="仿宋" w:eastAsia="仿宋" w:cs="仿宋"/>
          <w:sz w:val="32"/>
          <w:szCs w:val="32"/>
        </w:rPr>
      </w:pPr>
      <w:r>
        <w:rPr>
          <w:rFonts w:hint="eastAsia" w:ascii="仿宋" w:hAnsi="仿宋" w:eastAsia="仿宋" w:cs="仿宋"/>
          <w:b/>
          <w:bCs/>
          <w:sz w:val="32"/>
          <w:szCs w:val="32"/>
        </w:rPr>
        <w:t>（五）党建工作深入扎实</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是主题教育成效显著。紧扣学习贯彻习近平新时代中国特色社会主义思想这条主线，围绕《学习纲要》《论述选编》等内容开展理论学习;二是夯实思想防线。落实意识形态工作责任制，加强意识形态阵地的建设和管理;三是强化支部建设严格落实“三会一课”、谈心谈话、民主评议党员制度，扎实开展主题党日、组织生活会等活动,加强支部标准化建设;四是全面落实从严治党责任。组织召开党风廉政建设专题会议，强化党风廉政建设主体责任。</w:t>
      </w:r>
    </w:p>
    <w:p>
      <w:pPr>
        <w:spacing w:line="600" w:lineRule="exact"/>
        <w:ind w:firstLine="640" w:firstLineChars="200"/>
        <w:rPr>
          <w:rFonts w:ascii="仿宋" w:hAnsi="仿宋" w:eastAsia="仿宋" w:cs="仿宋"/>
          <w:sz w:val="32"/>
          <w:szCs w:val="32"/>
        </w:rPr>
      </w:pPr>
      <w:r>
        <w:rPr>
          <w:rFonts w:hint="eastAsia" w:ascii="仿宋" w:hAnsi="仿宋" w:eastAsia="仿宋" w:cs="仿宋"/>
          <w:b/>
          <w:bCs/>
          <w:sz w:val="32"/>
          <w:szCs w:val="32"/>
        </w:rPr>
        <w:t>（六）安全生产稳中向好</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始终坚持“安全第一、预防为主、综合治理”方针，科学管理，统筹安排，全面提高了公路保障能力和服务水平，实现了全年无安全生产责任事故的安全生产工作目标。一是落实安全生产责任制，强化安全目标责任。“党政同责、一岗双责”的安全生产领导体制和责任体系进一步完善，安全生产目标责任体系不断健全。二是开展安全专项行动，防范安全生产事故。全年开展了春运安全工作、安全生产隐患“十大专项整治”百日行动、安全监管“强执法防事故”行动等专项行动。三是突出安全重点，确保公路安全畅通。加强了国省道日常性监控，实现了对重点区域、关键环节的有效管控，强化了重点时段、重点部位的安全监管。四是加强舆论引导，强化安全宣传。在本机关院内、项目施工场所、主要活动区域等人员密集场所悬挂宣传横幅标语500多条，发放宣传资料3万多份。</w:t>
      </w:r>
    </w:p>
    <w:p>
      <w:pPr>
        <w:spacing w:line="600" w:lineRule="exact"/>
        <w:ind w:firstLine="640" w:firstLineChars="200"/>
        <w:rPr>
          <w:rFonts w:ascii="仿宋" w:hAnsi="仿宋" w:eastAsia="仿宋" w:cs="仿宋"/>
          <w:b/>
          <w:bCs/>
          <w:sz w:val="32"/>
          <w:szCs w:val="32"/>
        </w:rPr>
      </w:pPr>
      <w:r>
        <w:rPr>
          <w:rFonts w:hint="eastAsia" w:ascii="仿宋" w:hAnsi="仿宋" w:eastAsia="仿宋" w:cs="仿宋"/>
          <w:b/>
          <w:bCs/>
          <w:sz w:val="32"/>
          <w:szCs w:val="32"/>
        </w:rPr>
        <w:t>四、存在的主要问题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公路养护账并入经费账核算后，通过公路养护专户拨入的专项资金均在“其他收入”反映，致“其他收入”数额巨大；公路养护报表比财政决算报表编报时间稍迟，年末公路养护数据有调整，导致公路养护报表与财政决算报表数据不一致。</w:t>
      </w:r>
    </w:p>
    <w:p>
      <w:pPr>
        <w:topLinePunct/>
        <w:spacing w:line="600" w:lineRule="exact"/>
        <w:ind w:firstLine="640" w:firstLineChars="200"/>
        <w:rPr>
          <w:rFonts w:ascii="仿宋" w:hAnsi="仿宋" w:eastAsia="仿宋" w:cs="仿宋"/>
          <w:b/>
          <w:bCs/>
          <w:sz w:val="32"/>
          <w:szCs w:val="32"/>
        </w:rPr>
      </w:pPr>
      <w:r>
        <w:rPr>
          <w:rFonts w:hint="eastAsia" w:ascii="仿宋" w:hAnsi="仿宋" w:eastAsia="仿宋" w:cs="仿宋"/>
          <w:b/>
          <w:bCs/>
          <w:sz w:val="32"/>
          <w:szCs w:val="32"/>
        </w:rPr>
        <w:t>五、有关建议</w:t>
      </w:r>
    </w:p>
    <w:p>
      <w:pPr>
        <w:spacing w:line="60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1、财政加大预算安排力度，增加公路部门基本支出预算，将公路系统常年性专项经费纳入部门预算。努力积极争取省补资金，强化前期，优化设计，合理安排，加强全过程管理，推广四新技术，实施“五化”工程，抓早抓紧抓实抓好，提高公路品质。</w:t>
      </w:r>
    </w:p>
    <w:p>
      <w:pPr>
        <w:spacing w:line="60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2、将公路养护费用列入重点项目支出预算，确保养护费用专款专用。争取上级加大投入，加强预防性养护。健全以公共财政投入为主的养护资金保障机制，确保养护投入落到实处；全面开展日常性养护，加大预防性养护、小修和大中修工程实施力度。</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附件：2019年部门整体支出绩效自评指标计分表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spacing w:line="600" w:lineRule="exact"/>
        <w:ind w:firstLine="5440" w:firstLineChars="1700"/>
        <w:rPr>
          <w:rFonts w:ascii="仿宋" w:hAnsi="仿宋" w:eastAsia="仿宋" w:cs="仿宋"/>
          <w:sz w:val="32"/>
          <w:szCs w:val="32"/>
        </w:rPr>
      </w:pPr>
      <w:r>
        <w:rPr>
          <w:rFonts w:hint="eastAsia" w:ascii="仿宋" w:hAnsi="仿宋" w:eastAsia="仿宋" w:cs="仿宋"/>
          <w:sz w:val="32"/>
          <w:szCs w:val="32"/>
        </w:rPr>
        <w:t>益阳市公路管理局</w:t>
      </w:r>
    </w:p>
    <w:p>
      <w:pPr>
        <w:spacing w:line="600" w:lineRule="exact"/>
        <w:ind w:left="5380" w:leftChars="200" w:hanging="4960" w:hangingChars="1550"/>
        <w:rPr>
          <w:rFonts w:ascii="仿宋" w:hAnsi="仿宋" w:eastAsia="仿宋" w:cs="仿宋"/>
          <w:sz w:val="32"/>
          <w:szCs w:val="32"/>
        </w:rPr>
      </w:pPr>
      <w:r>
        <w:rPr>
          <w:rFonts w:hint="eastAsia" w:ascii="仿宋" w:hAnsi="仿宋" w:eastAsia="仿宋" w:cs="仿宋"/>
          <w:sz w:val="32"/>
          <w:szCs w:val="32"/>
        </w:rPr>
        <w:t xml:space="preserve">                                                  2020年4月22日</w:t>
      </w:r>
    </w:p>
    <w:p>
      <w:pPr>
        <w:spacing w:line="540" w:lineRule="exact"/>
        <w:jc w:val="left"/>
        <w:rPr>
          <w:rFonts w:ascii="仿宋" w:eastAsia="仿宋"/>
          <w:sz w:val="30"/>
          <w:szCs w:val="30"/>
        </w:rPr>
      </w:pPr>
    </w:p>
    <w:p>
      <w:pPr>
        <w:spacing w:line="540" w:lineRule="exact"/>
        <w:jc w:val="left"/>
        <w:rPr>
          <w:rFonts w:ascii="仿宋" w:eastAsia="仿宋"/>
          <w:sz w:val="30"/>
          <w:szCs w:val="30"/>
        </w:rPr>
      </w:pPr>
    </w:p>
    <w:p/>
    <w:p/>
    <w:p/>
    <w:p/>
    <w:p/>
    <w:p/>
    <w:p/>
    <w:p/>
    <w:p/>
    <w:p/>
    <w:p/>
    <w:p/>
    <w:p>
      <w:pPr>
        <w:rPr>
          <w:rFonts w:ascii="黑体" w:eastAsia="黑体"/>
          <w:szCs w:val="32"/>
        </w:rPr>
      </w:pPr>
      <w:r>
        <w:rPr>
          <w:rFonts w:hint="eastAsia" w:ascii="黑体" w:eastAsia="黑体"/>
          <w:szCs w:val="32"/>
        </w:rPr>
        <w:t>附件：</w:t>
      </w:r>
    </w:p>
    <w:tbl>
      <w:tblPr>
        <w:tblStyle w:val="4"/>
        <w:tblW w:w="8964" w:type="dxa"/>
        <w:tblInd w:w="0" w:type="dxa"/>
        <w:tblLayout w:type="fixed"/>
        <w:tblCellMar>
          <w:top w:w="0" w:type="dxa"/>
          <w:left w:w="0" w:type="dxa"/>
          <w:bottom w:w="0" w:type="dxa"/>
          <w:right w:w="0" w:type="dxa"/>
        </w:tblCellMar>
      </w:tblPr>
      <w:tblGrid>
        <w:gridCol w:w="547"/>
        <w:gridCol w:w="570"/>
        <w:gridCol w:w="703"/>
        <w:gridCol w:w="446"/>
        <w:gridCol w:w="2976"/>
        <w:gridCol w:w="3722"/>
      </w:tblGrid>
      <w:tr>
        <w:tblPrEx>
          <w:tblCellMar>
            <w:top w:w="0" w:type="dxa"/>
            <w:left w:w="0" w:type="dxa"/>
            <w:bottom w:w="0" w:type="dxa"/>
            <w:right w:w="0" w:type="dxa"/>
          </w:tblCellMar>
        </w:tblPrEx>
        <w:trPr>
          <w:tblHeader/>
        </w:trPr>
        <w:tc>
          <w:tcPr>
            <w:tcW w:w="8964" w:type="dxa"/>
            <w:gridSpan w:val="6"/>
            <w:tcBorders>
              <w:bottom w:val="single" w:color="auto" w:sz="4" w:space="0"/>
            </w:tcBorders>
            <w:tcMar>
              <w:top w:w="10" w:type="dxa"/>
              <w:left w:w="10" w:type="dxa"/>
              <w:bottom w:w="0" w:type="dxa"/>
              <w:right w:w="10" w:type="dxa"/>
            </w:tcMar>
            <w:vAlign w:val="center"/>
          </w:tcPr>
          <w:p>
            <w:pPr>
              <w:jc w:val="center"/>
              <w:rPr>
                <w:rFonts w:ascii="黑体" w:eastAsia="黑体"/>
                <w:bCs/>
                <w:sz w:val="36"/>
                <w:szCs w:val="36"/>
              </w:rPr>
            </w:pPr>
            <w:r>
              <w:rPr>
                <w:rFonts w:hint="eastAsia" w:ascii="黑体" w:eastAsia="黑体"/>
                <w:bCs/>
                <w:sz w:val="36"/>
                <w:szCs w:val="36"/>
              </w:rPr>
              <w:t>2019年度部门整体支出绩效自评指标计分表</w:t>
            </w:r>
          </w:p>
          <w:p>
            <w:pPr>
              <w:jc w:val="center"/>
              <w:rPr>
                <w:rFonts w:ascii="仿宋_GB2312"/>
                <w:bCs/>
                <w:szCs w:val="21"/>
              </w:rPr>
            </w:pPr>
          </w:p>
        </w:tc>
      </w:tr>
      <w:tr>
        <w:tblPrEx>
          <w:tblCellMar>
            <w:top w:w="0" w:type="dxa"/>
            <w:left w:w="0" w:type="dxa"/>
            <w:bottom w:w="0" w:type="dxa"/>
            <w:right w:w="0" w:type="dxa"/>
          </w:tblCellMar>
        </w:tblPrEx>
        <w:trPr>
          <w:trHeight w:val="567" w:hRule="atLeast"/>
          <w:tblHeader/>
        </w:trPr>
        <w:tc>
          <w:tcPr>
            <w:tcW w:w="54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bCs/>
                <w:szCs w:val="21"/>
              </w:rPr>
            </w:pPr>
            <w:r>
              <w:rPr>
                <w:rFonts w:hint="eastAsia" w:ascii="仿宋_GB2312"/>
                <w:bCs/>
                <w:szCs w:val="21"/>
              </w:rPr>
              <w:t>一级</w:t>
            </w:r>
            <w:r>
              <w:rPr>
                <w:rFonts w:hint="eastAsia" w:ascii="仿宋_GB2312"/>
                <w:bCs/>
                <w:szCs w:val="21"/>
              </w:rPr>
              <w:br w:type="textWrapping"/>
            </w:r>
            <w:r>
              <w:rPr>
                <w:rFonts w:hint="eastAsia" w:ascii="仿宋_GB2312"/>
                <w:bCs/>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bCs/>
                <w:szCs w:val="21"/>
              </w:rPr>
            </w:pPr>
            <w:r>
              <w:rPr>
                <w:rFonts w:hint="eastAsia" w:ascii="仿宋_GB2312"/>
                <w:bCs/>
                <w:szCs w:val="21"/>
              </w:rPr>
              <w:t>二级指标</w:t>
            </w:r>
          </w:p>
        </w:tc>
        <w:tc>
          <w:tcPr>
            <w:tcW w:w="70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bCs/>
                <w:szCs w:val="21"/>
              </w:rPr>
            </w:pPr>
            <w:r>
              <w:rPr>
                <w:rFonts w:hint="eastAsia" w:ascii="仿宋_GB2312"/>
                <w:bCs/>
                <w:szCs w:val="21"/>
              </w:rPr>
              <w:t>三级指标</w:t>
            </w:r>
          </w:p>
        </w:tc>
        <w:tc>
          <w:tcPr>
            <w:tcW w:w="446" w:type="dxa"/>
            <w:tcBorders>
              <w:top w:val="single" w:color="auto" w:sz="4" w:space="0"/>
              <w:left w:val="nil"/>
              <w:bottom w:val="single" w:color="auto" w:sz="4" w:space="0"/>
              <w:right w:val="single" w:color="auto" w:sz="4" w:space="0"/>
            </w:tcBorders>
            <w:vAlign w:val="center"/>
          </w:tcPr>
          <w:p>
            <w:pPr>
              <w:spacing w:line="240" w:lineRule="exact"/>
              <w:jc w:val="center"/>
              <w:rPr>
                <w:rFonts w:ascii="仿宋_GB2312"/>
                <w:bCs/>
                <w:szCs w:val="21"/>
              </w:rPr>
            </w:pPr>
            <w:r>
              <w:rPr>
                <w:rFonts w:hint="eastAsia" w:ascii="仿宋_GB2312"/>
                <w:bCs/>
                <w:szCs w:val="21"/>
              </w:rPr>
              <w:t>自评分</w:t>
            </w:r>
          </w:p>
        </w:tc>
        <w:tc>
          <w:tcPr>
            <w:tcW w:w="29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bCs/>
                <w:szCs w:val="21"/>
              </w:rPr>
            </w:pPr>
            <w:r>
              <w:rPr>
                <w:rFonts w:hint="eastAsia" w:ascii="仿宋_GB2312"/>
                <w:bCs/>
                <w:szCs w:val="21"/>
              </w:rPr>
              <w:t>指标解释</w:t>
            </w:r>
          </w:p>
        </w:tc>
        <w:tc>
          <w:tcPr>
            <w:tcW w:w="372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bCs/>
                <w:szCs w:val="21"/>
              </w:rPr>
            </w:pPr>
            <w:r>
              <w:rPr>
                <w:rFonts w:hint="eastAsia" w:ascii="仿宋_GB2312"/>
                <w:bCs/>
                <w:szCs w:val="21"/>
              </w:rPr>
              <w:t>指标说明</w:t>
            </w:r>
          </w:p>
        </w:tc>
      </w:tr>
      <w:tr>
        <w:tblPrEx>
          <w:tblCellMar>
            <w:top w:w="0" w:type="dxa"/>
            <w:left w:w="0" w:type="dxa"/>
            <w:bottom w:w="0" w:type="dxa"/>
            <w:right w:w="0" w:type="dxa"/>
          </w:tblCellMar>
        </w:tblPrEx>
        <w:trPr>
          <w:trHeight w:val="567" w:hRule="atLeast"/>
        </w:trPr>
        <w:tc>
          <w:tcPr>
            <w:tcW w:w="547"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仿宋_GB2312"/>
                <w:szCs w:val="21"/>
              </w:rPr>
            </w:pPr>
            <w:r>
              <w:rPr>
                <w:rFonts w:hint="eastAsia" w:ascii="仿宋_GB2312"/>
                <w:szCs w:val="21"/>
              </w:rPr>
              <w:t>投   入（20分）</w:t>
            </w:r>
          </w:p>
        </w:tc>
        <w:tc>
          <w:tcPr>
            <w:tcW w:w="570"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目标</w:t>
            </w:r>
            <w:r>
              <w:rPr>
                <w:rFonts w:hint="eastAsia" w:ascii="仿宋_GB2312"/>
                <w:szCs w:val="21"/>
              </w:rPr>
              <w:br w:type="textWrapping"/>
            </w:r>
            <w:r>
              <w:rPr>
                <w:rFonts w:hint="eastAsia" w:ascii="仿宋_GB2312"/>
                <w:szCs w:val="21"/>
              </w:rPr>
              <w:t>设定（5分）</w:t>
            </w: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绩效目标合理性（2分）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2</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部门所设立的整体绩效目标依据是否充分，是否符合客观实际，用以反映和考核部门整体绩效目标与部门履职、年度工作任务的相符性情况。</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①符合国家法律法规、国民经济和社会发展总体规划计1分；②符合部门“三定”方案确定的职责计0.5分；③是否符合部门制定的中长期实施规划计0.5分。</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绩效指标明确性（3分）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2</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部门依据整体绩效目标所设定的绩效指标是否清晰、细化、可衡量，用以反映和考核部门整体绩效目标的明细化情况。</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570"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预算</w:t>
            </w:r>
            <w:r>
              <w:rPr>
                <w:rFonts w:hint="eastAsia" w:ascii="仿宋_GB2312"/>
                <w:szCs w:val="21"/>
              </w:rPr>
              <w:br w:type="textWrapping"/>
            </w:r>
            <w:r>
              <w:rPr>
                <w:rFonts w:hint="eastAsia" w:ascii="仿宋_GB2312"/>
                <w:szCs w:val="21"/>
              </w:rPr>
              <w:t>配置（15分）</w:t>
            </w: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在职人员控制率（5分）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5</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部门本年度实际在职人员数与编制数的比率，用以反映和考核部门对人员成本的控制程度。</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“三公经费”</w:t>
            </w:r>
          </w:p>
          <w:p>
            <w:pPr>
              <w:spacing w:line="240" w:lineRule="exact"/>
              <w:jc w:val="center"/>
              <w:rPr>
                <w:rFonts w:ascii="仿宋_GB2312"/>
                <w:szCs w:val="21"/>
              </w:rPr>
            </w:pPr>
            <w:r>
              <w:rPr>
                <w:rFonts w:hint="eastAsia" w:ascii="仿宋_GB2312"/>
                <w:szCs w:val="21"/>
              </w:rPr>
              <w:t>变动率（5分）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4.5</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部门本年度“三公经费”预算数与上年度“三公经费”预算数的变动比率，用以反映和考核部门对控制重点行政成本的努力程度。</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重点支出安排率（5分）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5</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部门本年度预算安排的重点项目支出与部门项目总支出的比率，用以反映和考核部门对履行主要职责或完成重点任务的保障程度。</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0" w:type="dxa"/>
            <w:bottom w:w="0" w:type="dxa"/>
            <w:right w:w="0" w:type="dxa"/>
          </w:tblCellMar>
        </w:tblPrEx>
        <w:trPr>
          <w:trHeight w:val="567" w:hRule="atLeast"/>
        </w:trPr>
        <w:tc>
          <w:tcPr>
            <w:tcW w:w="547" w:type="dxa"/>
            <w:vMerge w:val="restart"/>
            <w:tcBorders>
              <w:top w:val="nil"/>
              <w:left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仿宋_GB2312"/>
                <w:szCs w:val="21"/>
              </w:rPr>
            </w:pPr>
            <w:r>
              <w:rPr>
                <w:rFonts w:hint="eastAsia" w:ascii="仿宋_GB2312"/>
                <w:szCs w:val="21"/>
              </w:rPr>
              <w:t>过             程（30分）</w:t>
            </w:r>
          </w:p>
        </w:tc>
        <w:tc>
          <w:tcPr>
            <w:tcW w:w="570" w:type="dxa"/>
            <w:vMerge w:val="restart"/>
            <w:tcBorders>
              <w:top w:val="nil"/>
              <w:left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预算</w:t>
            </w:r>
            <w:r>
              <w:rPr>
                <w:rFonts w:hint="eastAsia" w:ascii="仿宋_GB2312"/>
                <w:szCs w:val="21"/>
              </w:rPr>
              <w:br w:type="textWrapping"/>
            </w:r>
            <w:r>
              <w:rPr>
                <w:rFonts w:hint="eastAsia" w:ascii="仿宋_GB2312"/>
                <w:szCs w:val="21"/>
              </w:rPr>
              <w:t>执行</w:t>
            </w:r>
          </w:p>
          <w:p>
            <w:pPr>
              <w:spacing w:line="240" w:lineRule="exact"/>
              <w:jc w:val="center"/>
              <w:rPr>
                <w:rFonts w:ascii="仿宋_GB2312"/>
                <w:szCs w:val="21"/>
              </w:rPr>
            </w:pPr>
            <w:r>
              <w:rPr>
                <w:rFonts w:hint="eastAsia" w:ascii="仿宋_GB2312"/>
                <w:szCs w:val="21"/>
              </w:rPr>
              <w:t>（20分）</w:t>
            </w: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预算完成率（4分）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4</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部门本年度预算完成数与预算数的比率，用以反映和考核部门预算完成程度。</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预算调整率（2分）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1.5</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部门本年度预算调整数与预算数的比率，用以反映和考核部门预算的调整程度。</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支付进度率（2分）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2</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部门实际支付进度与既定支付进度的比率，用以反映和考核部门预算执行的及时性和均衡性程度。</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仿宋_GB2312"/>
                <w:szCs w:val="21"/>
              </w:rPr>
            </w:pPr>
          </w:p>
        </w:tc>
        <w:tc>
          <w:tcPr>
            <w:tcW w:w="570" w:type="dxa"/>
            <w:vMerge w:val="continue"/>
            <w:tcBorders>
              <w:left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p>
        </w:tc>
        <w:tc>
          <w:tcPr>
            <w:tcW w:w="70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结转结余控制率（4分）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0</w:t>
            </w:r>
          </w:p>
        </w:tc>
        <w:tc>
          <w:tcPr>
            <w:tcW w:w="29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部门本年度结转结余总额与上年结转结余总额增减比例，用以反映和考核部门对存量资金的实际控制程度。</w:t>
            </w:r>
          </w:p>
        </w:tc>
        <w:tc>
          <w:tcPr>
            <w:tcW w:w="372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公用经费</w:t>
            </w:r>
          </w:p>
          <w:p>
            <w:pPr>
              <w:spacing w:line="240" w:lineRule="exact"/>
              <w:jc w:val="center"/>
              <w:rPr>
                <w:rFonts w:ascii="仿宋_GB2312"/>
                <w:szCs w:val="21"/>
              </w:rPr>
            </w:pPr>
            <w:r>
              <w:rPr>
                <w:rFonts w:hint="eastAsia" w:ascii="仿宋_GB2312"/>
                <w:szCs w:val="21"/>
              </w:rPr>
              <w:t>控制率（2分）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部门本年度实际支出的公用经费总额与预算安排的公用经费总额的比率，用以反映和考核部门对机构运转成本的实际控制程度。</w:t>
            </w:r>
          </w:p>
        </w:tc>
        <w:tc>
          <w:tcPr>
            <w:tcW w:w="372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公用经费控制率=（实际支出公用经费总额/预算安排公用经费总额）×100%。为100%的计2分，每超过1个百分点扣0.1分，扣完为止。</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“三公经费”控制率（2分）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1.5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部门本年度“三公经费”实际支出数与预算安排数的比率，用以反映和考核部门对“三公经费”的实际控制程度。</w:t>
            </w:r>
          </w:p>
        </w:tc>
        <w:tc>
          <w:tcPr>
            <w:tcW w:w="372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“三公经费”控制率=（“三公经费”实际支出数/“三公经费”预算安排数）×100%。为100%的计2分，每超过1个百分点扣0.5分，扣完为止。</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政府采购</w:t>
            </w:r>
          </w:p>
          <w:p>
            <w:pPr>
              <w:spacing w:line="240" w:lineRule="exact"/>
              <w:jc w:val="center"/>
              <w:rPr>
                <w:rFonts w:ascii="仿宋_GB2312"/>
                <w:szCs w:val="21"/>
              </w:rPr>
            </w:pPr>
            <w:r>
              <w:rPr>
                <w:rFonts w:hint="eastAsia" w:ascii="仿宋_GB2312"/>
                <w:szCs w:val="21"/>
              </w:rPr>
              <w:t>执行率（4分）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4</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部门本年度实际政府采购金额与年初政府采购预算的比率，用以反映和考核部门政府采购预算执行情况。</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570"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预算</w:t>
            </w:r>
          </w:p>
          <w:p>
            <w:pPr>
              <w:spacing w:line="240" w:lineRule="exact"/>
              <w:jc w:val="center"/>
              <w:rPr>
                <w:rFonts w:ascii="仿宋_GB2312"/>
                <w:szCs w:val="21"/>
              </w:rPr>
            </w:pPr>
            <w:r>
              <w:rPr>
                <w:rFonts w:hint="eastAsia" w:ascii="仿宋_GB2312"/>
                <w:szCs w:val="21"/>
              </w:rPr>
              <w:t>管理</w:t>
            </w:r>
          </w:p>
          <w:p>
            <w:pPr>
              <w:spacing w:line="240" w:lineRule="exact"/>
              <w:jc w:val="center"/>
              <w:rPr>
                <w:rFonts w:ascii="仿宋_GB2312"/>
                <w:szCs w:val="21"/>
              </w:rPr>
            </w:pPr>
            <w:r>
              <w:rPr>
                <w:rFonts w:hint="eastAsia" w:ascii="仿宋_GB2312"/>
                <w:szCs w:val="21"/>
              </w:rPr>
              <w:t>（5分）</w:t>
            </w: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管理制度</w:t>
            </w:r>
          </w:p>
          <w:p>
            <w:pPr>
              <w:spacing w:line="240" w:lineRule="exact"/>
              <w:jc w:val="center"/>
              <w:rPr>
                <w:rFonts w:ascii="仿宋_GB2312"/>
                <w:szCs w:val="21"/>
              </w:rPr>
            </w:pPr>
            <w:r>
              <w:rPr>
                <w:rFonts w:hint="eastAsia" w:ascii="仿宋_GB2312"/>
                <w:szCs w:val="21"/>
              </w:rPr>
              <w:t>健全性（2分）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2</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部门为加强预算管理、规范财务行为而制定的管理制度是否健全完整，用以反映和考核部门预算管理制度对完成主要职责或促进事业发展的保障情况。</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已制定或具有预算资金管理办法、内部财务管理制度、会计核算制度等管理制度计1分；相关管理制度合法、合规、完整计0.5分；相关管理制度得到有效执行计0.5分。</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资金使用</w:t>
            </w:r>
          </w:p>
          <w:p>
            <w:pPr>
              <w:spacing w:line="240" w:lineRule="exact"/>
              <w:jc w:val="center"/>
              <w:rPr>
                <w:rFonts w:ascii="仿宋_GB2312"/>
                <w:szCs w:val="21"/>
              </w:rPr>
            </w:pPr>
            <w:r>
              <w:rPr>
                <w:rFonts w:hint="eastAsia" w:ascii="仿宋_GB2312"/>
                <w:szCs w:val="21"/>
              </w:rPr>
              <w:t>合规性（1分）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1</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部门使用预算资金是否符合相关的预算财务管理制度的规定，用以反映和考核部门预算资金的规范运行情况。</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预决算信</w:t>
            </w:r>
          </w:p>
          <w:p>
            <w:pPr>
              <w:spacing w:line="240" w:lineRule="exact"/>
              <w:jc w:val="center"/>
              <w:rPr>
                <w:rFonts w:ascii="仿宋_GB2312"/>
                <w:szCs w:val="21"/>
              </w:rPr>
            </w:pPr>
            <w:r>
              <w:rPr>
                <w:rFonts w:hint="eastAsia" w:ascii="仿宋_GB2312"/>
                <w:szCs w:val="21"/>
              </w:rPr>
              <w:t>息公开性（1分）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1</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部门是否按照政府信息公开有关规定公开相关预决算信息，用以反映和考核部门预决算管理的公开透明情况。</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①按规定内容公开预决算信息计0.5分；②按规定时限公开预决算信息计0.5分。预决算信息是指与部门预算、执行、决算、监督、绩效等管理相关的信息。</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基础信息</w:t>
            </w:r>
          </w:p>
          <w:p>
            <w:pPr>
              <w:spacing w:line="240" w:lineRule="exact"/>
              <w:jc w:val="center"/>
              <w:rPr>
                <w:rFonts w:ascii="仿宋_GB2312"/>
                <w:szCs w:val="21"/>
              </w:rPr>
            </w:pPr>
            <w:r>
              <w:rPr>
                <w:rFonts w:hint="eastAsia" w:ascii="仿宋_GB2312"/>
                <w:szCs w:val="21"/>
              </w:rPr>
              <w:t>完善性（1分）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1</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部门基础信息是否完善，用以反映和考核基础信息对预算管理工作的支撑情况。</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①基础数据信息和会计信息资料真实计0.4分；②基础数据信息和会计信息资料完整计0.3分；③基础数据信息和会计信息资料准确计0.3分。</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仿宋_GB2312"/>
                <w:szCs w:val="21"/>
              </w:rPr>
            </w:pPr>
          </w:p>
        </w:tc>
        <w:tc>
          <w:tcPr>
            <w:tcW w:w="570" w:type="dxa"/>
            <w:vMerge w:val="restart"/>
            <w:tcBorders>
              <w:top w:val="nil"/>
              <w:left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资产</w:t>
            </w:r>
            <w:r>
              <w:rPr>
                <w:rFonts w:hint="eastAsia" w:ascii="仿宋_GB2312"/>
                <w:szCs w:val="21"/>
              </w:rPr>
              <w:br w:type="textWrapping"/>
            </w:r>
            <w:r>
              <w:rPr>
                <w:rFonts w:hint="eastAsia" w:ascii="仿宋_GB2312"/>
                <w:szCs w:val="21"/>
              </w:rPr>
              <w:t>管理</w:t>
            </w:r>
          </w:p>
          <w:p>
            <w:pPr>
              <w:spacing w:line="240" w:lineRule="exact"/>
              <w:jc w:val="center"/>
              <w:rPr>
                <w:rFonts w:ascii="仿宋_GB2312"/>
                <w:szCs w:val="21"/>
              </w:rPr>
            </w:pPr>
            <w:r>
              <w:rPr>
                <w:rFonts w:hint="eastAsia" w:ascii="仿宋_GB2312"/>
                <w:szCs w:val="21"/>
              </w:rPr>
              <w:t>（5分）</w:t>
            </w: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管理制度</w:t>
            </w:r>
          </w:p>
          <w:p>
            <w:pPr>
              <w:spacing w:line="240" w:lineRule="exact"/>
              <w:jc w:val="center"/>
              <w:rPr>
                <w:rFonts w:ascii="仿宋_GB2312"/>
                <w:szCs w:val="21"/>
              </w:rPr>
            </w:pPr>
            <w:r>
              <w:rPr>
                <w:rFonts w:hint="eastAsia" w:ascii="仿宋_GB2312"/>
                <w:szCs w:val="21"/>
              </w:rPr>
              <w:t>健全性（2分）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2</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部门为加强资产管理、规范资产管理行为而制定的管理制度是否健全完整，用以反映和考核部门资产管理制度对完成主要职责或促进社会发展的保障情况。</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①制定或具有资产管理制度计1分；②相关资金管理制度合法、合规、完整计0.5分；③相关资产管理制度得到有效执行计0.5分。</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left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资产管理</w:t>
            </w:r>
          </w:p>
          <w:p>
            <w:pPr>
              <w:spacing w:line="240" w:lineRule="exact"/>
              <w:jc w:val="center"/>
              <w:rPr>
                <w:rFonts w:ascii="仿宋_GB2312"/>
                <w:szCs w:val="21"/>
              </w:rPr>
            </w:pPr>
            <w:r>
              <w:rPr>
                <w:rFonts w:hint="eastAsia" w:ascii="仿宋_GB2312"/>
                <w:szCs w:val="21"/>
              </w:rPr>
              <w:t>安全性（2分）</w:t>
            </w:r>
          </w:p>
        </w:tc>
        <w:tc>
          <w:tcPr>
            <w:tcW w:w="446" w:type="dxa"/>
            <w:tcBorders>
              <w:top w:val="single" w:color="auto" w:sz="4" w:space="0"/>
              <w:left w:val="nil"/>
              <w:bottom w:val="single" w:color="auto" w:sz="4" w:space="0"/>
              <w:right w:val="single" w:color="auto" w:sz="4" w:space="0"/>
            </w:tcBorders>
            <w:vAlign w:val="center"/>
          </w:tcPr>
          <w:p>
            <w:pPr>
              <w:tabs>
                <w:tab w:val="left" w:pos="761"/>
                <w:tab w:val="left" w:pos="2604"/>
              </w:tabs>
              <w:spacing w:line="240" w:lineRule="exact"/>
              <w:jc w:val="center"/>
              <w:rPr>
                <w:rFonts w:ascii="仿宋_GB2312" w:eastAsia="仿宋_GB2312"/>
                <w:szCs w:val="21"/>
              </w:rPr>
            </w:pPr>
            <w:r>
              <w:rPr>
                <w:rFonts w:hint="eastAsia" w:ascii="仿宋_GB2312"/>
                <w:szCs w:val="21"/>
              </w:rPr>
              <w:t>1.8</w:t>
            </w:r>
          </w:p>
        </w:tc>
        <w:tc>
          <w:tcPr>
            <w:tcW w:w="29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spacing w:line="240" w:lineRule="exact"/>
              <w:rPr>
                <w:rFonts w:ascii="仿宋_GB2312"/>
                <w:szCs w:val="21"/>
              </w:rPr>
            </w:pPr>
            <w:r>
              <w:rPr>
                <w:rFonts w:hint="eastAsia" w:ascii="仿宋_GB2312"/>
                <w:szCs w:val="21"/>
              </w:rPr>
              <w:t>部门的资产是否保存完整、使用合规、配置合理、处置规范、收入及时足额上缴，用以反映和考核部门资产安全运行情况。</w:t>
            </w:r>
          </w:p>
        </w:tc>
        <w:tc>
          <w:tcPr>
            <w:tcW w:w="372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①资产保存完整计0.4分；②资产配置合理计0.4分；③资产处置规范计0.4分；④资产账务管理合规、帐实相符计0.4分；⑤资产有偿使用及处置收入及时足额上缴计0.4分。</w:t>
            </w:r>
          </w:p>
        </w:tc>
      </w:tr>
      <w:tr>
        <w:tblPrEx>
          <w:tblCellMar>
            <w:top w:w="0" w:type="dxa"/>
            <w:left w:w="0" w:type="dxa"/>
            <w:bottom w:w="0" w:type="dxa"/>
            <w:right w:w="0" w:type="dxa"/>
          </w:tblCellMar>
        </w:tblPrEx>
        <w:trPr>
          <w:trHeight w:val="567" w:hRule="atLeast"/>
        </w:trPr>
        <w:tc>
          <w:tcPr>
            <w:tcW w:w="547"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固定资产</w:t>
            </w:r>
          </w:p>
          <w:p>
            <w:pPr>
              <w:spacing w:line="240" w:lineRule="exact"/>
              <w:jc w:val="center"/>
              <w:rPr>
                <w:rFonts w:ascii="仿宋_GB2312"/>
                <w:szCs w:val="21"/>
              </w:rPr>
            </w:pPr>
            <w:r>
              <w:rPr>
                <w:rFonts w:hint="eastAsia" w:ascii="仿宋_GB2312"/>
                <w:szCs w:val="21"/>
              </w:rPr>
              <w:t>利用率（1分）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1</w:t>
            </w:r>
          </w:p>
        </w:tc>
        <w:tc>
          <w:tcPr>
            <w:tcW w:w="29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部门实际在用固定资产总额与所有固定资产总额的比率，用以反映和考核部门固定资产使用效率程度。</w:t>
            </w:r>
          </w:p>
        </w:tc>
        <w:tc>
          <w:tcPr>
            <w:tcW w:w="372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固定资产利用率=（实际在用固定资产总额/所有固定资产总额）×100%。利用率为100%的计1分，每降1个百分点扣0.1分，扣完为止。</w:t>
            </w:r>
          </w:p>
        </w:tc>
      </w:tr>
      <w:tr>
        <w:tblPrEx>
          <w:tblCellMar>
            <w:top w:w="0" w:type="dxa"/>
            <w:left w:w="0" w:type="dxa"/>
            <w:bottom w:w="0" w:type="dxa"/>
            <w:right w:w="0" w:type="dxa"/>
          </w:tblCellMar>
        </w:tblPrEx>
        <w:trPr>
          <w:trHeight w:val="567" w:hRule="atLeast"/>
        </w:trPr>
        <w:tc>
          <w:tcPr>
            <w:tcW w:w="547"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仿宋_GB2312"/>
                <w:szCs w:val="21"/>
              </w:rPr>
            </w:pPr>
            <w:r>
              <w:rPr>
                <w:rFonts w:hint="eastAsia" w:ascii="仿宋_GB2312"/>
                <w:szCs w:val="21"/>
              </w:rPr>
              <w:t>产   出（30分）</w:t>
            </w:r>
          </w:p>
        </w:tc>
        <w:tc>
          <w:tcPr>
            <w:tcW w:w="570"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职责</w:t>
            </w:r>
            <w:r>
              <w:rPr>
                <w:rFonts w:hint="eastAsia" w:ascii="仿宋_GB2312"/>
                <w:szCs w:val="21"/>
              </w:rPr>
              <w:br w:type="textWrapping"/>
            </w:r>
            <w:r>
              <w:rPr>
                <w:rFonts w:hint="eastAsia" w:ascii="仿宋_GB2312"/>
                <w:szCs w:val="21"/>
              </w:rPr>
              <w:t>履行</w:t>
            </w: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实际完成率（8分）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8</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部门履行职责而实际完成工作数与计划工作数的比率，用以反映和考核部门履职工作任务目标的实现程度。</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实际完成率得分=完成市委市政府绩效考核得分或上级主管部门考核指标得分/指标分值*8分</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完成及时率（4分）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4</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部门在规定时限内及时完成的实际工作数与计划工作数的比率,用以反映和考核部门履职时效目标的实现程度。</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完成及时率=（及时完成实际工作数/计划工作数）×100%。1-4季度各得1分</w:t>
            </w:r>
            <w:r>
              <w:rPr>
                <w:rFonts w:hint="eastAsia" w:ascii="仿宋_GB2312"/>
                <w:szCs w:val="21"/>
              </w:rPr>
              <w:br w:type="textWrapping"/>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质量达标率（8分）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8</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达到质量标准（绩效标准值）的实际工作数与计划工作数的比率,用以反映和考核部门履职质量目标的实现程度。</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质量达标率=（质量达标实际工作数/计划工作数）×100%。实际得分=达标率*8分</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重点工作</w:t>
            </w:r>
          </w:p>
          <w:p>
            <w:pPr>
              <w:spacing w:line="240" w:lineRule="exact"/>
              <w:jc w:val="center"/>
              <w:rPr>
                <w:rFonts w:ascii="仿宋_GB2312"/>
                <w:szCs w:val="21"/>
              </w:rPr>
            </w:pPr>
            <w:r>
              <w:rPr>
                <w:rFonts w:hint="eastAsia" w:ascii="仿宋_GB2312"/>
                <w:szCs w:val="21"/>
              </w:rPr>
              <w:t>办结率（10分）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10</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部门年度重点工作实际完成数与交办或下达数的比率，用以反映部门对重点工作的办理落实程度。</w:t>
            </w: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szCs w:val="21"/>
              </w:rPr>
              <w:t>重点工作办结率=（重点工作实际完成数/交办或下达数）×100%。实际得分=办结率*10分</w:t>
            </w:r>
          </w:p>
        </w:tc>
      </w:tr>
      <w:tr>
        <w:tblPrEx>
          <w:tblCellMar>
            <w:top w:w="0" w:type="dxa"/>
            <w:left w:w="0" w:type="dxa"/>
            <w:bottom w:w="0" w:type="dxa"/>
            <w:right w:w="0" w:type="dxa"/>
          </w:tblCellMar>
        </w:tblPrEx>
        <w:trPr>
          <w:trHeight w:val="567" w:hRule="atLeast"/>
        </w:trPr>
        <w:tc>
          <w:tcPr>
            <w:tcW w:w="547"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仿宋_GB2312"/>
                <w:szCs w:val="21"/>
              </w:rPr>
            </w:pPr>
            <w:r>
              <w:rPr>
                <w:rFonts w:hint="eastAsia" w:ascii="仿宋_GB2312"/>
                <w:szCs w:val="21"/>
              </w:rPr>
              <w:t>效   果（20分）</w:t>
            </w:r>
          </w:p>
        </w:tc>
        <w:tc>
          <w:tcPr>
            <w:tcW w:w="570"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履职</w:t>
            </w:r>
            <w:r>
              <w:rPr>
                <w:rFonts w:hint="eastAsia" w:ascii="仿宋_GB2312"/>
                <w:szCs w:val="21"/>
              </w:rPr>
              <w:br w:type="textWrapping"/>
            </w:r>
            <w:r>
              <w:rPr>
                <w:rFonts w:hint="eastAsia" w:ascii="仿宋_GB2312"/>
                <w:szCs w:val="21"/>
              </w:rPr>
              <w:t>效益（20分）</w:t>
            </w: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经济效益（5分）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4</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部门履行职责对经济发展所带来的直接或间接影响。</w:t>
            </w:r>
          </w:p>
        </w:tc>
        <w:tc>
          <w:tcPr>
            <w:tcW w:w="372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hAnsi="宋体" w:cs="宋体"/>
                <w:kern w:val="0"/>
                <w:szCs w:val="21"/>
              </w:rPr>
              <w:t>按经济效益实现程度计算得分（5分）；按社会效益实现程度计算得分（5分）；按生态效益实现程度计算得分（5分）</w:t>
            </w: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社会效益（5分）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5</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部门履行职责对社会发展所带来的直接或间接影响。</w:t>
            </w:r>
          </w:p>
        </w:tc>
        <w:tc>
          <w:tcPr>
            <w:tcW w:w="3722"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szCs w:val="21"/>
              </w:rPr>
            </w:pP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57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p>
        </w:tc>
        <w:tc>
          <w:tcPr>
            <w:tcW w:w="703"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生态效益（5分）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5</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部门履行职责对生态环境所带来的直接或间接影响。</w:t>
            </w:r>
          </w:p>
        </w:tc>
        <w:tc>
          <w:tcPr>
            <w:tcW w:w="3722"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szCs w:val="21"/>
              </w:rPr>
            </w:pPr>
          </w:p>
        </w:tc>
      </w:tr>
      <w:tr>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nil"/>
              <w:right w:val="single" w:color="auto" w:sz="4" w:space="0"/>
            </w:tcBorders>
            <w:vAlign w:val="center"/>
          </w:tcPr>
          <w:p>
            <w:pPr>
              <w:spacing w:line="240" w:lineRule="exact"/>
              <w:jc w:val="center"/>
              <w:rPr>
                <w:rFonts w:ascii="仿宋_GB2312"/>
                <w:szCs w:val="21"/>
              </w:rPr>
            </w:pPr>
          </w:p>
        </w:tc>
        <w:tc>
          <w:tcPr>
            <w:tcW w:w="570" w:type="dxa"/>
            <w:vMerge w:val="continue"/>
            <w:tcBorders>
              <w:top w:val="nil"/>
              <w:left w:val="single" w:color="auto" w:sz="4" w:space="0"/>
              <w:bottom w:val="nil"/>
              <w:right w:val="single" w:color="auto" w:sz="4" w:space="0"/>
            </w:tcBorders>
            <w:vAlign w:val="center"/>
          </w:tcPr>
          <w:p>
            <w:pPr>
              <w:spacing w:line="240" w:lineRule="exact"/>
              <w:jc w:val="center"/>
              <w:rPr>
                <w:rFonts w:ascii="仿宋_GB2312"/>
                <w:szCs w:val="21"/>
              </w:rPr>
            </w:pPr>
          </w:p>
        </w:tc>
        <w:tc>
          <w:tcPr>
            <w:tcW w:w="703" w:type="dxa"/>
            <w:tcBorders>
              <w:top w:val="nil"/>
              <w:left w:val="nil"/>
              <w:bottom w:val="nil"/>
              <w:right w:val="single" w:color="auto" w:sz="4" w:space="0"/>
            </w:tcBorders>
            <w:tcMar>
              <w:top w:w="10" w:type="dxa"/>
              <w:left w:w="10" w:type="dxa"/>
              <w:bottom w:w="0" w:type="dxa"/>
              <w:right w:w="10" w:type="dxa"/>
            </w:tcMar>
            <w:vAlign w:val="center"/>
          </w:tcPr>
          <w:p>
            <w:pPr>
              <w:spacing w:line="240" w:lineRule="exact"/>
              <w:jc w:val="center"/>
              <w:rPr>
                <w:rFonts w:ascii="仿宋_GB2312"/>
                <w:szCs w:val="21"/>
              </w:rPr>
            </w:pPr>
            <w:r>
              <w:rPr>
                <w:rFonts w:hint="eastAsia" w:ascii="仿宋_GB2312"/>
                <w:szCs w:val="21"/>
              </w:rPr>
              <w:t>社会公众</w:t>
            </w:r>
          </w:p>
          <w:p>
            <w:pPr>
              <w:spacing w:line="240" w:lineRule="exact"/>
              <w:jc w:val="center"/>
              <w:rPr>
                <w:rFonts w:ascii="仿宋_GB2312"/>
                <w:szCs w:val="21"/>
              </w:rPr>
            </w:pPr>
            <w:r>
              <w:rPr>
                <w:rFonts w:hint="eastAsia" w:ascii="仿宋_GB2312"/>
                <w:szCs w:val="21"/>
              </w:rPr>
              <w:t>或服务对</w:t>
            </w:r>
          </w:p>
          <w:p>
            <w:pPr>
              <w:spacing w:line="240" w:lineRule="exact"/>
              <w:jc w:val="center"/>
              <w:rPr>
                <w:rFonts w:ascii="仿宋_GB2312"/>
                <w:szCs w:val="21"/>
              </w:rPr>
            </w:pPr>
            <w:r>
              <w:rPr>
                <w:rFonts w:hint="eastAsia" w:ascii="仿宋_GB2312"/>
                <w:szCs w:val="21"/>
              </w:rPr>
              <w:t>象满意度（5分）</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5</w:t>
            </w:r>
          </w:p>
        </w:tc>
        <w:tc>
          <w:tcPr>
            <w:tcW w:w="2976" w:type="dxa"/>
            <w:tcBorders>
              <w:top w:val="nil"/>
              <w:left w:val="single" w:color="auto" w:sz="4" w:space="0"/>
              <w:bottom w:val="nil"/>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r>
              <w:rPr>
                <w:rFonts w:hint="eastAsia" w:ascii="仿宋_GB2312"/>
                <w:szCs w:val="21"/>
              </w:rPr>
              <w:t>社会公众或部门的服务对象对部门履职效果的满意程度。</w:t>
            </w:r>
          </w:p>
        </w:tc>
        <w:tc>
          <w:tcPr>
            <w:tcW w:w="3722" w:type="dxa"/>
            <w:tcBorders>
              <w:top w:val="nil"/>
              <w:left w:val="nil"/>
              <w:bottom w:val="nil"/>
              <w:right w:val="single" w:color="auto" w:sz="4" w:space="0"/>
            </w:tcBorders>
            <w:tcMar>
              <w:top w:w="10" w:type="dxa"/>
              <w:left w:w="10" w:type="dxa"/>
              <w:bottom w:w="0" w:type="dxa"/>
              <w:right w:w="10" w:type="dxa"/>
            </w:tcMar>
            <w:vAlign w:val="center"/>
          </w:tcPr>
          <w:p>
            <w:pPr>
              <w:spacing w:line="240" w:lineRule="exact"/>
              <w:rPr>
                <w:rFonts w:ascii="仿宋_GB2312"/>
                <w:szCs w:val="21"/>
              </w:rPr>
            </w:pPr>
            <w:r>
              <w:rPr>
                <w:rFonts w:hint="eastAsia" w:ascii="仿宋_GB2312" w:hAnsi="宋体" w:cs="宋体"/>
                <w:kern w:val="0"/>
                <w:szCs w:val="21"/>
              </w:rPr>
              <w:t>按收集到的服务对象的满意率计算得分（5分）</w:t>
            </w:r>
          </w:p>
        </w:tc>
      </w:tr>
      <w:tr>
        <w:tblPrEx>
          <w:tblCellMar>
            <w:top w:w="0" w:type="dxa"/>
            <w:left w:w="0" w:type="dxa"/>
            <w:bottom w:w="0" w:type="dxa"/>
            <w:right w:w="0" w:type="dxa"/>
          </w:tblCellMar>
        </w:tblPrEx>
        <w:trPr>
          <w:trHeight w:val="567" w:hRule="atLeast"/>
        </w:trPr>
        <w:tc>
          <w:tcPr>
            <w:tcW w:w="1820" w:type="dxa"/>
            <w:gridSpan w:val="3"/>
            <w:tcBorders>
              <w:top w:val="nil"/>
              <w:left w:val="single" w:color="auto" w:sz="4" w:space="0"/>
              <w:bottom w:val="single" w:color="auto" w:sz="4" w:space="0"/>
              <w:right w:val="single" w:color="auto" w:sz="4" w:space="0"/>
            </w:tcBorders>
            <w:vAlign w:val="center"/>
          </w:tcPr>
          <w:p>
            <w:pPr>
              <w:spacing w:line="240" w:lineRule="exact"/>
              <w:jc w:val="center"/>
              <w:rPr>
                <w:rFonts w:ascii="仿宋_GB2312"/>
                <w:szCs w:val="21"/>
              </w:rPr>
            </w:pPr>
            <w:r>
              <w:rPr>
                <w:rFonts w:hint="eastAsia" w:ascii="仿宋_GB2312"/>
                <w:szCs w:val="21"/>
              </w:rPr>
              <w:t>合   计</w:t>
            </w:r>
          </w:p>
        </w:tc>
        <w:tc>
          <w:tcPr>
            <w:tcW w:w="446"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仿宋_GB2312" w:eastAsia="仿宋_GB2312"/>
                <w:szCs w:val="21"/>
              </w:rPr>
            </w:pPr>
            <w:r>
              <w:rPr>
                <w:rFonts w:hint="eastAsia" w:ascii="仿宋_GB2312"/>
                <w:szCs w:val="21"/>
              </w:rPr>
              <w:t>92.3</w:t>
            </w:r>
          </w:p>
        </w:tc>
        <w:tc>
          <w:tcPr>
            <w:tcW w:w="297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仿宋_GB2312"/>
                <w:szCs w:val="21"/>
              </w:rPr>
            </w:pPr>
          </w:p>
        </w:tc>
        <w:tc>
          <w:tcPr>
            <w:tcW w:w="372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仿宋_GB2312" w:hAnsi="宋体" w:cs="宋体"/>
                <w:kern w:val="0"/>
                <w:szCs w:val="21"/>
              </w:rPr>
            </w:pPr>
          </w:p>
        </w:tc>
      </w:tr>
    </w:tbl>
    <w:p>
      <w:pPr>
        <w:spacing w:line="600" w:lineRule="exact"/>
        <w:rPr>
          <w:rFonts w:ascii="黑体" w:eastAsia="黑体"/>
          <w:szCs w:val="32"/>
        </w:rPr>
      </w:pPr>
    </w:p>
    <w:p>
      <w:pPr>
        <w:jc w:val="left"/>
        <w:rPr>
          <w:rFonts w:ascii="楷体_GB2312" w:hAnsi="楷体_GB2312" w:eastAsia="楷体_GB2312" w:cs="楷体_GB2312"/>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1A0F3C52" w:usb2="00000010" w:usb3="00000000" w:csb0="0004001F" w:csb1="00000000"/>
  </w:font>
  <w:font w:name="Century Gothic">
    <w:panose1 w:val="020B0502020202020204"/>
    <w:charset w:val="00"/>
    <w:family w:val="auto"/>
    <w:pitch w:val="default"/>
    <w:sig w:usb0="00000287" w:usb1="00000000" w:usb2="00000000" w:usb3="00000000" w:csb0="2000009F" w:csb1="DFD70000"/>
  </w:font>
  <w:font w:name="Tahoma">
    <w:panose1 w:val="020B0604030504040204"/>
    <w:charset w:val="00"/>
    <w:family w:val="auto"/>
    <w:pitch w:val="default"/>
    <w:sig w:usb0="61007A87" w:usb1="80000000" w:usb2="00000008"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05FB1"/>
    <w:multiLevelType w:val="singleLevel"/>
    <w:tmpl w:val="2E505F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3870"/>
    <w:rsid w:val="000452DB"/>
    <w:rsid w:val="000B41D1"/>
    <w:rsid w:val="000B56F7"/>
    <w:rsid w:val="000B56FD"/>
    <w:rsid w:val="000C4FAA"/>
    <w:rsid w:val="000E1DA1"/>
    <w:rsid w:val="0011267F"/>
    <w:rsid w:val="00117D5A"/>
    <w:rsid w:val="001352FB"/>
    <w:rsid w:val="00144D50"/>
    <w:rsid w:val="001901C4"/>
    <w:rsid w:val="00235ED7"/>
    <w:rsid w:val="0025703E"/>
    <w:rsid w:val="002D5DD0"/>
    <w:rsid w:val="002D734E"/>
    <w:rsid w:val="002F2A8C"/>
    <w:rsid w:val="00317991"/>
    <w:rsid w:val="00323E0B"/>
    <w:rsid w:val="00335376"/>
    <w:rsid w:val="0035446D"/>
    <w:rsid w:val="00361F25"/>
    <w:rsid w:val="003638A2"/>
    <w:rsid w:val="0040164B"/>
    <w:rsid w:val="00430AD5"/>
    <w:rsid w:val="004606BE"/>
    <w:rsid w:val="004B7CA5"/>
    <w:rsid w:val="004C174B"/>
    <w:rsid w:val="004C3997"/>
    <w:rsid w:val="004E2F24"/>
    <w:rsid w:val="00571330"/>
    <w:rsid w:val="00582244"/>
    <w:rsid w:val="005C4596"/>
    <w:rsid w:val="005E2E58"/>
    <w:rsid w:val="006123DC"/>
    <w:rsid w:val="006170A8"/>
    <w:rsid w:val="0065030C"/>
    <w:rsid w:val="006823CE"/>
    <w:rsid w:val="0070163B"/>
    <w:rsid w:val="00732CB0"/>
    <w:rsid w:val="007A5CE2"/>
    <w:rsid w:val="007C02DE"/>
    <w:rsid w:val="007C5F40"/>
    <w:rsid w:val="00836CB0"/>
    <w:rsid w:val="008F546E"/>
    <w:rsid w:val="00935CF1"/>
    <w:rsid w:val="00946F32"/>
    <w:rsid w:val="0096182A"/>
    <w:rsid w:val="00983989"/>
    <w:rsid w:val="009B4C5A"/>
    <w:rsid w:val="00A10B51"/>
    <w:rsid w:val="00A30DA2"/>
    <w:rsid w:val="00A34197"/>
    <w:rsid w:val="00A806B4"/>
    <w:rsid w:val="00AA1B90"/>
    <w:rsid w:val="00AB25EE"/>
    <w:rsid w:val="00AF64D3"/>
    <w:rsid w:val="00B27C51"/>
    <w:rsid w:val="00B44575"/>
    <w:rsid w:val="00BC6D21"/>
    <w:rsid w:val="00BC7B9D"/>
    <w:rsid w:val="00BD0975"/>
    <w:rsid w:val="00BF6E77"/>
    <w:rsid w:val="00C17BB4"/>
    <w:rsid w:val="00C44F18"/>
    <w:rsid w:val="00C93CC7"/>
    <w:rsid w:val="00D21CDF"/>
    <w:rsid w:val="00D36804"/>
    <w:rsid w:val="00D4383D"/>
    <w:rsid w:val="00D83956"/>
    <w:rsid w:val="00D86BAC"/>
    <w:rsid w:val="00DB0D6E"/>
    <w:rsid w:val="00DF6FA5"/>
    <w:rsid w:val="00E229E2"/>
    <w:rsid w:val="00E301D5"/>
    <w:rsid w:val="00E517E0"/>
    <w:rsid w:val="00E532FE"/>
    <w:rsid w:val="00EC2A23"/>
    <w:rsid w:val="00EC2AAC"/>
    <w:rsid w:val="00ED3327"/>
    <w:rsid w:val="00F26C06"/>
    <w:rsid w:val="00F31832"/>
    <w:rsid w:val="00F322AD"/>
    <w:rsid w:val="00F33904"/>
    <w:rsid w:val="00F35C36"/>
    <w:rsid w:val="00F44513"/>
    <w:rsid w:val="00F76F60"/>
    <w:rsid w:val="00F90EA9"/>
    <w:rsid w:val="00F94200"/>
    <w:rsid w:val="00FE3F03"/>
    <w:rsid w:val="0AA849F4"/>
    <w:rsid w:val="0FBC65BB"/>
    <w:rsid w:val="111067E7"/>
    <w:rsid w:val="14435B2E"/>
    <w:rsid w:val="149E1606"/>
    <w:rsid w:val="17167032"/>
    <w:rsid w:val="1C3301D4"/>
    <w:rsid w:val="1D9035D9"/>
    <w:rsid w:val="202B2412"/>
    <w:rsid w:val="21D713C7"/>
    <w:rsid w:val="24841249"/>
    <w:rsid w:val="26A00137"/>
    <w:rsid w:val="278F33F2"/>
    <w:rsid w:val="294071A0"/>
    <w:rsid w:val="29895C52"/>
    <w:rsid w:val="2B133209"/>
    <w:rsid w:val="2D6A6FAC"/>
    <w:rsid w:val="35AB449E"/>
    <w:rsid w:val="3BEC5B59"/>
    <w:rsid w:val="43E42BA1"/>
    <w:rsid w:val="47570F78"/>
    <w:rsid w:val="47D87973"/>
    <w:rsid w:val="48A3434F"/>
    <w:rsid w:val="498519B2"/>
    <w:rsid w:val="4C950D19"/>
    <w:rsid w:val="53B749E2"/>
    <w:rsid w:val="55947DC3"/>
    <w:rsid w:val="56C07512"/>
    <w:rsid w:val="59A27C1D"/>
    <w:rsid w:val="5D101964"/>
    <w:rsid w:val="5F2214EC"/>
    <w:rsid w:val="639E12E7"/>
    <w:rsid w:val="64162127"/>
    <w:rsid w:val="64E14425"/>
    <w:rsid w:val="6BBB409A"/>
    <w:rsid w:val="73ED1452"/>
    <w:rsid w:val="748B7957"/>
    <w:rsid w:val="7635590E"/>
    <w:rsid w:val="769D515E"/>
    <w:rsid w:val="77D16510"/>
    <w:rsid w:val="799F7EAF"/>
    <w:rsid w:val="7A987E70"/>
    <w:rsid w:val="7AFE1674"/>
    <w:rsid w:val="7EAF7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unhideWhenUsed/>
    <w:qFormat/>
    <w:uiPriority w:val="99"/>
    <w:rPr>
      <w:color w:val="0000FF" w:themeColor="hyperlink"/>
      <w:u w:val="singl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2780</Words>
  <Characters>15847</Characters>
  <Lines>132</Lines>
  <Paragraphs>37</Paragraphs>
  <TotalTime>125</TotalTime>
  <ScaleCrop>false</ScaleCrop>
  <LinksUpToDate>false</LinksUpToDate>
  <CharactersWithSpaces>18590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2020-09-26T09:09:29Z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