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bookmarkStart w:id="0" w:name="_GoBack"/>
      <w:bookmarkEnd w:id="0"/>
      <w:r>
        <w:rPr>
          <w:rFonts w:ascii="Times New Roman" w:hAnsi="Times New Roman" w:eastAsia="黑体" w:cs="Times New Roman"/>
          <w:sz w:val="28"/>
          <w:szCs w:val="28"/>
        </w:rPr>
        <w:t>附件</w:t>
      </w:r>
    </w:p>
    <w:p>
      <w:pPr>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继续有效的个人所得税优惠政策涉及的文件目录</w:t>
      </w:r>
    </w:p>
    <w:tbl>
      <w:tblPr>
        <w:tblStyle w:val="4"/>
        <w:tblW w:w="9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17" w:type="dxa"/>
          <w:left w:w="17" w:type="dxa"/>
          <w:bottom w:w="0" w:type="dxa"/>
          <w:right w:w="17" w:type="dxa"/>
        </w:tblCellMar>
      </w:tblPr>
      <w:tblGrid>
        <w:gridCol w:w="584"/>
        <w:gridCol w:w="1701"/>
        <w:gridCol w:w="4558"/>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17" w:type="dxa"/>
            <w:left w:w="17" w:type="dxa"/>
            <w:bottom w:w="0" w:type="dxa"/>
            <w:right w:w="17" w:type="dxa"/>
          </w:tblCellMar>
        </w:tblPrEx>
        <w:trPr>
          <w:trHeight w:val="680" w:hRule="atLeast"/>
          <w:tblHeader/>
          <w:jc w:val="center"/>
        </w:trPr>
        <w:tc>
          <w:tcPr>
            <w:tcW w:w="584" w:type="dxa"/>
            <w:shd w:val="clear" w:color="000000" w:fill="FFFFFF"/>
            <w:vAlign w:val="center"/>
          </w:tcPr>
          <w:p>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701" w:type="dxa"/>
            <w:shd w:val="clear" w:color="000000" w:fill="FFFFFF"/>
            <w:vAlign w:val="center"/>
          </w:tcPr>
          <w:p>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制定机关</w:t>
            </w:r>
          </w:p>
        </w:tc>
        <w:tc>
          <w:tcPr>
            <w:tcW w:w="4558" w:type="dxa"/>
            <w:shd w:val="clear" w:color="000000" w:fill="FFFFFF"/>
            <w:vAlign w:val="center"/>
          </w:tcPr>
          <w:p>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优惠政策文件名称</w:t>
            </w:r>
          </w:p>
        </w:tc>
        <w:tc>
          <w:tcPr>
            <w:tcW w:w="2829" w:type="dxa"/>
            <w:shd w:val="clear" w:color="000000" w:fill="FFFFFF"/>
            <w:vAlign w:val="center"/>
          </w:tcPr>
          <w:p>
            <w:pPr>
              <w:jc w:val="center"/>
              <w:rPr>
                <w:rFonts w:ascii="Times New Roman" w:hAnsi="Times New Roman" w:eastAsia="仿宋_GB2312" w:cs="Times New Roman"/>
                <w:b/>
                <w:bCs/>
                <w:szCs w:val="21"/>
              </w:rPr>
            </w:pPr>
            <w:r>
              <w:rPr>
                <w:rFonts w:ascii="Times New Roman" w:hAnsi="Times New Roman" w:eastAsia="仿宋_GB2312" w:cs="Times New Roman"/>
                <w:b/>
                <w:bCs/>
                <w:szCs w:val="21"/>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财政部关于外国来华工作人员缴纳个人所得税问题的通知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（80）财税字第189号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国家税务总局关于个人所得税若干政策问题的通知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财税字〔1994〕020号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国家税务总局关于西藏自治区贯彻施行《中华人民共和国个人所得税法》有关问题的批复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财税字〔1994〕021号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国家税务总局关于印发《征收个人所得税若干问题的规定》的通知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国税发〔1994〕089号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国家税务总局关于社会福利有奖募捐发行收入税收问题的通知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国税发〔1994〕127号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国家税务总局关于曾宪梓教育基金会教师奖免征个人所得税的函</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国税函发〔1994〕376号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国家税务总局关于发给见义勇为者的奖金免征个人所得税问题的通知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国家税务总局关于个人取得青苗补偿费收入征免个人所得税的批复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国税函发〔1995〕079号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税务总局关于军队干部工资薪金收入征收个人所得税的通知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财税字〔1996〕14号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国家税务总局关于西藏特殊津贴免征个人所得税的批复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财税字〔1996〕91号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国家税务总局关于国际青少年消除贫困奖免征个人所得税的通知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财税字〔1997〕51号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国家税务总局关于股份制企业转增股本和派发红股征免个人所得税的通知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国税发〔1997〕198号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国家税务总局关于个人取得体育彩票中奖所得征免个人所得税问题的通知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财税字〔1998〕12号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国家税务总局关于证券投资基金税收问题的通知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财税字〔1998〕55号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国家税务总局关于个人转让股票所得继续暂免征收个人所得税的通知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财税字〔1998〕61号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国家税务总局关于原城市信用社在转制为城市合作银行过程中个人股增值所得应纳个人所得税的批复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国税函〔1998〕289号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国家税务总局关于“长江学者奖励计划”有关个人收入免征个人所得税的通知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国税函〔1998〕632号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国家税务总局关于促进科技成果转化有关税收政策的通知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国家税务总局关于个人所得税有关政策问题的通知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国税发〔1999〕58号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国家税务总局关于促进科技成果转化有关个人所得税问题的通知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国税发〔1999〕125号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国家税务总局关于住房公积金 医疗保险金 基本养老保险金 失业保险基金个人帐户存款利息所得免征个人所得税的通知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财税字〔1999〕267号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国家税务总局关于“特聘教授奖金”免征个人所得税的通知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国税函〔1999〕525号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国家税务总局关于企业改组改制过程中个人取得的量化资产征收个人所得税问题的通知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国税发〔2000〕60号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国家税务总局关于随军家属就业有关税收政策的通知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财税〔2000〕84号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国家税务总局关于调整住房租赁市场税收政策的通知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财税〔2000〕125号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国家税务总局关于律师事务所从业人员取得收入征收个人所得税有关业务问题的通知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国税发〔2000〕149号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国家税务总局关于“长江小小科学家”奖金免征个人所得税的通知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国税函〔2000〕688号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国家税务总局关于《关于个人独资企业和合伙企业投资者征收个人所得税的规定》执行口径的通知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国税函〔2001〕84号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国家税务总局关于个人与用人单位解除劳动关系取得的一次性补偿收入征免个人所得税问题的通知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财税〔2001〕157号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国家税务总局关于开放式证券投资基金有关税收问题的通知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财税〔2002〕128号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国家税务总局关于自主择业的军队转业干部有关税收政策问题的通知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财税〔2003〕26号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国家税务总局关于个人取得“母亲河（波司登）奖”奖金所得免征个人所得税问题的批复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国税函〔2003〕961号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国家税务总局关于外籍个人取得港澳地区住房等补贴征免个人所得税的通知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财税〔2004〕29号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国家税务总局关于农村税费改革试点地区有关个人所得税问题的通知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国家税务总局关于教育税收政策的通知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财税〔2004〕39号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国家税务总局关于国际组织驻华机构 外国政府驻华使领馆和驻华新闻机构雇员个人所得税征收方式的通知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国税函〔2004〕808号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国家税务总局关于城镇房屋拆迁有关税收政策的通知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国家税务总局关于股权分置试点改革有关税收政策问题的通知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财税〔2005〕103号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国家税务总局关于基本养老保险费基本医疗保险费失业保险费住房公积金有关个人所得税政策的通知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财税〔2006〕10号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国家税务总局关于陈嘉庚科学奖获奖个人取得的奖金收入免征个人所得税的通知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国税函〔2006〕561号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国家税务总局关于单位低价向职工售房有关个人所得税问题的通知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国家税务总局关于个人取得有奖发票奖金征免个人所得税问题的通知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财税〔2007〕34号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国家税务总局关于《建立亚洲开发银行协定》有关个人所得税问题的补充通知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财税〔2007〕93号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国家税务总局关于高级专家延长离休退休期间取得工资薪金所得有关个人所得税问题的通知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国家税务总局关于生育津贴和生育医疗费有关个人所得税政策的通知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国家税务总局关于廉租住房经济适用住房和住房租赁有关税收政策的通知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国家税务总局关于认真落实抗震救灾及灾后重建税收政策问题的通知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国家税务总局关于储蓄存款利息所得有关个人所得税政策的通知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国家税务总局关于证券市场个人投资者证券交易结算资金利息所得有关个人所得税政策的通知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财税〔2008〕140号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国家税务总局关于个人无偿受赠房屋有关个人所得税问题的通知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财税〔2009〕78号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国家税务总局关于明确个人所得税若干政策执行问题的通知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国税发〔2009〕121号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国家税务总局关于刘东生青年科学家奖和刘东生地球科学奖学金获奖者奖金免征个人所得税的通知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国税函〔2010〕74号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国家税务总局关于全国职工职业技能大赛奖金免征个人所得税的通知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国税函〔2010〕78号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国家税务总局关于个人独资企业和合伙企业投资者取得种植业 养殖业 饲养业 捕捞业所得有关个人所得税问题的批复</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财税〔2010〕96号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国家税务总局关于中华宝钢环境优秀奖奖金免征个人所得税问题的通知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国税函〔2010〕130号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国家税务总局关于企业促销展业赠送礼品有关个人所得税问题的通知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国家税务总局关于2011年度李四光地质科学奖奖金免征个人所得税的公告</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国家税务总局公告2011年第68号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国家税务总局关于退役士兵退役金和经济补助免征个人所得税问题的通知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财税〔2011〕109号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国家税务总局关于第五届黄汲清青年地质科学技术奖奖金免征个人所得税问题的公告</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国家税务总局公告2012年第4号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国家税务总局关于明天小小科学家奖金免征个人所得税问题的公告</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国家税务总局公告2012年第28号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国家税务总局关于工伤职工取得的工伤保险待遇有关个人所得税政策的通知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国家税务总局关于地方政府债券利息免征所得税问题的通知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国家税务总局关于棚户区改造有关税收政策的通知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财税〔2013〕101号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财政部、人力资源社会保障部、税务总局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人力资源社会保障部 国家税务总局关于企业年金职业年金个人所得税有关问题的通知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财税〔2013〕103号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国家税务总局关于广东横琴新区个人所得税优惠政策的通知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财税〔2014〕23号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国家税务总局关于福建平潭综合实验区个人所得税优惠政策的通知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财税〔2014〕24号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国家税务总局关于深圳前海深港现代服务业合作区个人所得税优惠政策的通知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财税〔2014〕25号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 证监会关于沪港股票市场交易互联互通机制试点有关税收政策的通知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财税〔2014〕81号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财政部、海关总署、税务总局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海关总署 国家税务总局关于支持鲁甸地震灾后恢复重建有关税收政策问题的通知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财税〔2015〕27号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国家税务总局关于个人非货币性资产投资有关个人所得税政策的通知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财税〔2015〕41号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 证监会关于上市公司股息红利差别化个人所得税政策有关问题的通知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财税〔2015〕101号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国家税务总局关于将国家自主创新示范区有关税收试点政策推广到全国范围实施的通知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财税〔2015〕116号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 证监会关于内地与香港基金互认有关税收政策的通知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财税〔2015〕125号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国家税务总局关于行政和解金有关税收政策问题的通知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财税〔2016〕100号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国家税务总局关于完善股权激励和技术入股有关所得税政策的通知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财税〔2016〕101号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国家税务总局 证监会关于深港股票市场交易互联互通机制试点有关税收政策的通知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财税〔2016〕127号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财政部、税务总局、民政部</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民政部关于继续实施扶持自主就业退役士兵创业就业有关税收政策的通知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财税〔2017〕46号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财政部、税务总局、人力资源社会保障部</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人力资源社会保障部关于继续实施支持和促进重点群体创业就业有关税收政策的通知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财税〔2017〕49号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财政部、税务总局、海关总署</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海关总署关于北京2022年冬奥会和冬残奥会税收政策的通知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财税〔2017〕60号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证监会关于沪港股票市场交易互联互通机制试点有关税收政策的通知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财税〔2017〕78号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证监会关于支持原油等货物期货市场对外开放税收政策的通知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1861"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财政部、税务总局、人力资源社会保障部、中国银行保险监督管理委员会、证监会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人力资源社会保障部 中国银行保险监督管理委员会 证监会关于开展个人税收递延型商业养老保险试点的通知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税务总局关于创业投资企业和天使投资个人有关税收政策的通知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财政部、税务总局、科技部</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科技部关于科技人员取得职务科技成果转化现金奖励有关个人所得税政策的通知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税务总局关于易地扶贫搬迁税收优惠政策的通知</w:t>
            </w:r>
          </w:p>
        </w:tc>
        <w:tc>
          <w:tcPr>
            <w:tcW w:w="2829" w:type="dxa"/>
            <w:shd w:val="clear" w:color="000000" w:fill="FFFFFF"/>
            <w:vAlign w:val="center"/>
          </w:tcPr>
          <w:p>
            <w:pPr>
              <w:rPr>
                <w:rFonts w:ascii="Times New Roman" w:hAnsi="Times New Roman" w:eastAsia="仿宋_GB2312" w:cs="Times New Roman"/>
                <w:b/>
                <w:szCs w:val="21"/>
              </w:rPr>
            </w:pPr>
            <w:r>
              <w:rPr>
                <w:rFonts w:ascii="Times New Roman" w:hAnsi="Times New Roman" w:eastAsia="仿宋_GB2312" w:cs="Times New Roman"/>
                <w:szCs w:val="21"/>
              </w:rPr>
              <w:t>财税〔2018〕135号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证监会关于个人转让全国中小企业股份转让系统挂牌公司股票有关个人所得税政策的通知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财政部、税务总局、证监会</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 证监会关于继续执行内地与香港基金互认有关个人所得税政策的通知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0" w:type="dxa"/>
            <w:right w:w="17" w:type="dxa"/>
          </w:tblCellMar>
        </w:tblPrEx>
        <w:trPr>
          <w:trHeight w:val="680" w:hRule="atLeast"/>
          <w:jc w:val="center"/>
        </w:trPr>
        <w:tc>
          <w:tcPr>
            <w:tcW w:w="584" w:type="dxa"/>
            <w:shd w:val="clear" w:color="000000" w:fill="FFFFFF"/>
            <w:vAlign w:val="center"/>
          </w:tcPr>
          <w:p>
            <w:pPr>
              <w:widowControl/>
              <w:numPr>
                <w:ilvl w:val="0"/>
                <w:numId w:val="1"/>
              </w:numPr>
              <w:jc w:val="center"/>
              <w:rPr>
                <w:rFonts w:ascii="Times New Roman" w:hAnsi="Times New Roman" w:eastAsia="仿宋_GB2312" w:cs="Times New Roman"/>
                <w:szCs w:val="21"/>
              </w:rPr>
            </w:pPr>
          </w:p>
        </w:tc>
        <w:tc>
          <w:tcPr>
            <w:tcW w:w="1701"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财政部、税务总局</w:t>
            </w:r>
          </w:p>
        </w:tc>
        <w:tc>
          <w:tcPr>
            <w:tcW w:w="4558"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财政部 税务总局关于个人所得税法修改后有关优惠政策衔接问题的通知</w:t>
            </w:r>
          </w:p>
        </w:tc>
        <w:tc>
          <w:tcPr>
            <w:tcW w:w="2829" w:type="dxa"/>
            <w:shd w:val="clear" w:color="000000" w:fill="FFFFFF"/>
            <w:vAlign w:val="center"/>
          </w:tcPr>
          <w:p>
            <w:pPr>
              <w:rPr>
                <w:rFonts w:ascii="Times New Roman" w:hAnsi="Times New Roman" w:eastAsia="仿宋_GB2312" w:cs="Times New Roman"/>
                <w:szCs w:val="21"/>
              </w:rPr>
            </w:pPr>
            <w:r>
              <w:rPr>
                <w:rFonts w:ascii="Times New Roman" w:hAnsi="Times New Roman" w:eastAsia="仿宋_GB2312" w:cs="Times New Roman"/>
                <w:szCs w:val="21"/>
              </w:rPr>
              <w:t>财税〔2018〕164号</w:t>
            </w:r>
          </w:p>
        </w:tc>
      </w:tr>
    </w:tbl>
    <w:p>
      <w:pPr>
        <w:rPr>
          <w:rFonts w:ascii="Times New Roman" w:hAnsi="Times New Roman" w:eastAsia="仿宋_GB2312" w:cs="Times New Roman"/>
          <w:sz w:val="24"/>
          <w:szCs w:val="24"/>
        </w:rPr>
      </w:pPr>
      <w:r>
        <w:rPr>
          <w:rFonts w:ascii="Times New Roman" w:hAnsi="Times New Roman" w:eastAsia="仿宋_GB2312" w:cs="Times New Roman"/>
          <w:sz w:val="24"/>
          <w:szCs w:val="24"/>
        </w:rPr>
        <w:t>注：上述文件中个人所得税优惠政策继续有效，已废止或者失效的部分条款除外。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AB3"/>
    <w:multiLevelType w:val="multilevel"/>
    <w:tmpl w:val="09095A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8D"/>
    <w:rsid w:val="00E50361"/>
    <w:rsid w:val="00F3268D"/>
    <w:rsid w:val="3D2C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7"/>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6">
    <w:name w:val="标题 2 Char"/>
    <w:basedOn w:val="5"/>
    <w:link w:val="2"/>
    <w:qFormat/>
    <w:uiPriority w:val="9"/>
    <w:rPr>
      <w:rFonts w:ascii="宋体" w:hAnsi="宋体" w:eastAsia="宋体" w:cs="宋体"/>
      <w:b/>
      <w:bCs/>
      <w:kern w:val="0"/>
      <w:sz w:val="36"/>
      <w:szCs w:val="36"/>
    </w:rPr>
  </w:style>
  <w:style w:type="character" w:customStyle="1" w:styleId="7">
    <w:name w:val="标题 3 Char"/>
    <w:basedOn w:val="5"/>
    <w:link w:val="3"/>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836</Words>
  <Characters>4769</Characters>
  <Lines>39</Lines>
  <Paragraphs>11</Paragraphs>
  <TotalTime>2</TotalTime>
  <ScaleCrop>false</ScaleCrop>
  <LinksUpToDate>false</LinksUpToDate>
  <CharactersWithSpaces>5594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2019-06-24T06:56:00Z</dcterms:created>
  <dc:creator>Administrator</dc:creator>
  <cp:lastModifiedBy>Administrator</cp:lastModifiedBy>
  <dcterms:modified xsi:type="dcterms:W3CDTF">2019-06-26T03:47:16Z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