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益阳市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造价站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2018年部门预算公开补充说明</w:t>
      </w:r>
    </w:p>
    <w:p>
      <w:pPr>
        <w:rPr>
          <w:rFonts w:hint="eastAsia"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一、国有资产占用情况说明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本单位共有车辆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辆，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均</w:t>
      </w:r>
      <w:bookmarkStart w:id="0" w:name="_GoBack"/>
      <w:bookmarkEnd w:id="0"/>
      <w:r>
        <w:rPr>
          <w:rFonts w:ascii="仿宋" w:hAnsi="仿宋" w:eastAsia="仿宋"/>
          <w:color w:val="000000"/>
          <w:kern w:val="0"/>
          <w:sz w:val="32"/>
          <w:szCs w:val="32"/>
        </w:rPr>
        <w:t>为一般公务用车。</w:t>
      </w:r>
      <w:r>
        <w:rPr>
          <w:rFonts w:ascii="仿宋" w:hAnsi="仿宋" w:eastAsia="仿宋"/>
          <w:sz w:val="32"/>
          <w:szCs w:val="32"/>
        </w:rPr>
        <w:t>单位价值50万元以上通用设备0台(套)，单价100万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以上专用设备0台(套）。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二、重点项目预算的绩效目标等预算绩效情况说明</w:t>
      </w:r>
    </w:p>
    <w:p>
      <w:pPr>
        <w:ind w:firstLine="42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 xml:space="preserve">   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年，本单位按照有关政策文件和市财政局要求，作为益阳市住房和城乡建设局的二级机构，不需要开展预算绩效管理工作。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544"/>
    <w:rsid w:val="00184B12"/>
    <w:rsid w:val="00572544"/>
    <w:rsid w:val="4CB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8</TotalTime>
  <ScaleCrop>false</ScaleCrop>
  <LinksUpToDate>false</LinksUpToDate>
  <CharactersWithSpaces>188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2019-01-24T06:12:00Z</dcterms:created>
  <dc:creator>fgtyu</dc:creator>
  <cp:lastModifiedBy>fgtyu</cp:lastModifiedBy>
  <dcterms:modified xsi:type="dcterms:W3CDTF">2019-01-24T06:26:40Z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