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val="0"/>
        <w:topLinePunct/>
        <w:autoSpaceDE/>
        <w:autoSpaceDN/>
        <w:bidi w:val="0"/>
        <w:adjustRightInd w:val="0"/>
        <w:snapToGrid w:val="0"/>
        <w:spacing w:line="620" w:lineRule="exact"/>
        <w:ind w:right="62"/>
        <w:jc w:val="center"/>
        <w:textAlignment w:val="baseline"/>
        <w:outlineLvl w:val="0"/>
        <w:rPr>
          <w:rFonts w:hint="eastAsia" w:ascii="方正小标宋简体" w:hAnsi="方正小标宋简体" w:eastAsia="方正小标宋简体" w:cs="方正小标宋简体"/>
          <w:b w:val="0"/>
          <w:bCs w:val="0"/>
          <w:color w:val="auto"/>
          <w:spacing w:val="0"/>
          <w:sz w:val="44"/>
          <w:szCs w:val="44"/>
        </w:rPr>
      </w:pPr>
    </w:p>
    <w:p>
      <w:pPr>
        <w:keepNext w:val="0"/>
        <w:keepLines w:val="0"/>
        <w:pageBreakBefore w:val="0"/>
        <w:widowControl w:val="0"/>
        <w:kinsoku/>
        <w:wordWrap w:val="0"/>
        <w:overflowPunct w:val="0"/>
        <w:topLinePunct/>
        <w:autoSpaceDE/>
        <w:autoSpaceDN/>
        <w:bidi w:val="0"/>
        <w:adjustRightInd w:val="0"/>
        <w:snapToGrid w:val="0"/>
        <w:spacing w:line="620" w:lineRule="exact"/>
        <w:ind w:right="62"/>
        <w:jc w:val="center"/>
        <w:textAlignment w:val="baseline"/>
        <w:outlineLvl w:val="0"/>
        <w:rPr>
          <w:rFonts w:hint="eastAsia" w:ascii="方正小标宋简体" w:hAnsi="方正小标宋简体" w:eastAsia="方正小标宋简体" w:cs="方正小标宋简体"/>
          <w:b w:val="0"/>
          <w:bCs w:val="0"/>
          <w:color w:val="auto"/>
          <w:spacing w:val="0"/>
          <w:sz w:val="44"/>
          <w:szCs w:val="44"/>
        </w:rPr>
      </w:pPr>
    </w:p>
    <w:p>
      <w:pPr>
        <w:keepNext w:val="0"/>
        <w:keepLines w:val="0"/>
        <w:pageBreakBefore w:val="0"/>
        <w:widowControl w:val="0"/>
        <w:kinsoku/>
        <w:wordWrap w:val="0"/>
        <w:overflowPunct w:val="0"/>
        <w:topLinePunct/>
        <w:autoSpaceDE/>
        <w:autoSpaceDN/>
        <w:bidi w:val="0"/>
        <w:adjustRightInd w:val="0"/>
        <w:snapToGrid w:val="0"/>
        <w:spacing w:line="620" w:lineRule="exact"/>
        <w:ind w:right="62"/>
        <w:jc w:val="center"/>
        <w:textAlignment w:val="baseline"/>
        <w:outlineLvl w:val="0"/>
        <w:rPr>
          <w:rFonts w:hint="eastAsia" w:ascii="方正小标宋简体" w:hAnsi="方正小标宋简体" w:eastAsia="方正小标宋简体" w:cs="方正小标宋简体"/>
          <w:b w:val="0"/>
          <w:bCs w:val="0"/>
          <w:color w:val="auto"/>
          <w:spacing w:val="0"/>
          <w:sz w:val="44"/>
          <w:szCs w:val="44"/>
        </w:rPr>
      </w:pPr>
    </w:p>
    <w:p>
      <w:pPr>
        <w:keepNext w:val="0"/>
        <w:keepLines w:val="0"/>
        <w:pageBreakBefore w:val="0"/>
        <w:widowControl w:val="0"/>
        <w:kinsoku/>
        <w:wordWrap w:val="0"/>
        <w:overflowPunct w:val="0"/>
        <w:topLinePunct/>
        <w:autoSpaceDE/>
        <w:autoSpaceDN/>
        <w:bidi w:val="0"/>
        <w:adjustRightInd w:val="0"/>
        <w:snapToGrid w:val="0"/>
        <w:spacing w:line="620" w:lineRule="exact"/>
        <w:ind w:right="62"/>
        <w:jc w:val="center"/>
        <w:textAlignment w:val="baseline"/>
        <w:outlineLvl w:val="0"/>
        <w:rPr>
          <w:rFonts w:hint="eastAsia" w:ascii="方正小标宋简体" w:hAnsi="方正小标宋简体" w:eastAsia="方正小标宋简体" w:cs="方正小标宋简体"/>
          <w:b w:val="0"/>
          <w:bCs w:val="0"/>
          <w:color w:val="auto"/>
          <w:spacing w:val="0"/>
          <w:sz w:val="44"/>
          <w:szCs w:val="44"/>
        </w:rPr>
      </w:pPr>
      <w:r>
        <w:rPr>
          <w:rFonts w:hint="eastAsia" w:ascii="方正小标宋简体" w:hAnsi="方正小标宋简体" w:eastAsia="方正小标宋简体" w:cs="方正小标宋简体"/>
          <w:b w:val="0"/>
          <w:bCs w:val="0"/>
          <w:color w:val="auto"/>
          <w:spacing w:val="0"/>
          <w:sz w:val="44"/>
          <w:szCs w:val="44"/>
        </w:rPr>
        <w:t>关于《益阳市医疗保障局关于调整益阳市公立医疗机构部分医疗服务价格的通知》起草</w:t>
      </w:r>
    </w:p>
    <w:p>
      <w:pPr>
        <w:keepNext w:val="0"/>
        <w:keepLines w:val="0"/>
        <w:pageBreakBefore w:val="0"/>
        <w:widowControl w:val="0"/>
        <w:kinsoku/>
        <w:wordWrap w:val="0"/>
        <w:overflowPunct w:val="0"/>
        <w:topLinePunct/>
        <w:autoSpaceDE/>
        <w:autoSpaceDN/>
        <w:bidi w:val="0"/>
        <w:adjustRightInd w:val="0"/>
        <w:snapToGrid w:val="0"/>
        <w:spacing w:line="620" w:lineRule="exact"/>
        <w:ind w:right="62"/>
        <w:jc w:val="center"/>
        <w:textAlignment w:val="baseline"/>
        <w:outlineLvl w:val="0"/>
        <w:rPr>
          <w:rFonts w:hint="eastAsia" w:ascii="方正小标宋简体" w:hAnsi="方正小标宋简体" w:eastAsia="方正小标宋简体" w:cs="方正小标宋简体"/>
          <w:b w:val="0"/>
          <w:bCs w:val="0"/>
          <w:color w:val="auto"/>
          <w:spacing w:val="0"/>
          <w:sz w:val="44"/>
          <w:szCs w:val="44"/>
        </w:rPr>
      </w:pPr>
      <w:r>
        <w:rPr>
          <w:rFonts w:hint="eastAsia" w:ascii="方正小标宋简体" w:hAnsi="方正小标宋简体" w:eastAsia="方正小标宋简体" w:cs="方正小标宋简体"/>
          <w:b w:val="0"/>
          <w:bCs w:val="0"/>
          <w:color w:val="auto"/>
          <w:spacing w:val="0"/>
          <w:sz w:val="44"/>
          <w:szCs w:val="44"/>
        </w:rPr>
        <w:t>情况的说明</w:t>
      </w:r>
    </w:p>
    <w:p>
      <w:pPr>
        <w:keepNext w:val="0"/>
        <w:keepLines w:val="0"/>
        <w:pageBreakBefore w:val="0"/>
        <w:widowControl w:val="0"/>
        <w:kinsoku/>
        <w:wordWrap w:val="0"/>
        <w:overflowPunct w:val="0"/>
        <w:topLinePunct/>
        <w:autoSpaceDE/>
        <w:autoSpaceDN/>
        <w:bidi w:val="0"/>
        <w:spacing w:line="580" w:lineRule="exact"/>
        <w:jc w:val="both"/>
        <w:rPr>
          <w:rFonts w:hint="eastAsia" w:ascii="仿宋" w:hAnsi="仿宋" w:eastAsia="仿宋" w:cs="仿宋"/>
          <w:color w:val="auto"/>
          <w:spacing w:val="0"/>
          <w:sz w:val="32"/>
          <w:szCs w:val="32"/>
        </w:rPr>
      </w:pPr>
    </w:p>
    <w:p>
      <w:pPr>
        <w:pStyle w:val="2"/>
        <w:keepNext w:val="0"/>
        <w:keepLines w:val="0"/>
        <w:pageBreakBefore w:val="0"/>
        <w:widowControl w:val="0"/>
        <w:kinsoku/>
        <w:wordWrap w:val="0"/>
        <w:overflowPunct w:val="0"/>
        <w:topLinePunct/>
        <w:autoSpaceDE/>
        <w:autoSpaceDN/>
        <w:bidi w:val="0"/>
        <w:spacing w:line="560" w:lineRule="exact"/>
        <w:ind w:left="0" w:leftChars="0" w:right="32" w:firstLine="640" w:firstLineChars="200"/>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为深化医疗服务价格改革，根据国家、省统一部署和安排，</w:t>
      </w:r>
      <w:r>
        <w:rPr>
          <w:rFonts w:hint="eastAsia" w:cs="仿宋"/>
          <w:color w:val="auto"/>
          <w:spacing w:val="0"/>
          <w:sz w:val="32"/>
          <w:szCs w:val="32"/>
          <w:lang w:eastAsia="zh-CN"/>
        </w:rPr>
        <w:t>益阳市</w:t>
      </w:r>
      <w:r>
        <w:rPr>
          <w:rFonts w:hint="eastAsia" w:ascii="仿宋" w:hAnsi="仿宋" w:eastAsia="仿宋" w:cs="仿宋"/>
          <w:color w:val="auto"/>
          <w:spacing w:val="0"/>
          <w:sz w:val="32"/>
          <w:szCs w:val="32"/>
        </w:rPr>
        <w:t>医疗保障局开展了2023年度调价评估。根据调价评估结果，组织</w:t>
      </w:r>
      <w:r>
        <w:rPr>
          <w:rFonts w:hint="eastAsia" w:cs="仿宋"/>
          <w:color w:val="auto"/>
          <w:spacing w:val="0"/>
          <w:sz w:val="32"/>
          <w:szCs w:val="32"/>
          <w:lang w:eastAsia="zh-CN"/>
        </w:rPr>
        <w:t>益阳市公立</w:t>
      </w:r>
      <w:r>
        <w:rPr>
          <w:rFonts w:hint="eastAsia" w:ascii="仿宋" w:hAnsi="仿宋" w:eastAsia="仿宋" w:cs="仿宋"/>
          <w:color w:val="auto"/>
          <w:spacing w:val="0"/>
          <w:sz w:val="32"/>
          <w:szCs w:val="32"/>
        </w:rPr>
        <w:t>医疗机构参与调价项目遴选和报价，严密测算后，形成医疗服务价格动态调整方案。经医保、财政、卫健、市场监管四部门审议以及公示等相关程序，决定实施2023年医疗服务价格动态调整。现就《益阳市医疗保障局关于调整益阳市公立医疗机构部分医疗服务价格的通知》(以下简称《</w:t>
      </w:r>
      <w:r>
        <w:rPr>
          <w:rFonts w:hint="eastAsia" w:ascii="仿宋" w:hAnsi="仿宋" w:eastAsia="仿宋" w:cs="仿宋"/>
          <w:color w:val="auto"/>
          <w:spacing w:val="0"/>
          <w:sz w:val="32"/>
          <w:szCs w:val="32"/>
          <w:lang w:eastAsia="zh-CN"/>
        </w:rPr>
        <w:t>通知</w:t>
      </w:r>
      <w:r>
        <w:rPr>
          <w:rFonts w:hint="eastAsia" w:ascii="仿宋" w:hAnsi="仿宋" w:eastAsia="仿宋" w:cs="仿宋"/>
          <w:color w:val="auto"/>
          <w:spacing w:val="0"/>
          <w:sz w:val="32"/>
          <w:szCs w:val="32"/>
        </w:rPr>
        <w:t>》)起草情况说明如下：</w:t>
      </w:r>
    </w:p>
    <w:p>
      <w:pPr>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黑体" w:hAnsi="黑体" w:eastAsia="黑体" w:cs="黑体"/>
          <w:b w:val="0"/>
          <w:bCs w:val="0"/>
          <w:color w:val="auto"/>
          <w:spacing w:val="0"/>
          <w:sz w:val="32"/>
          <w:szCs w:val="32"/>
        </w:rPr>
      </w:pPr>
      <w:r>
        <w:rPr>
          <w:rFonts w:hint="eastAsia" w:ascii="黑体" w:hAnsi="黑体" w:eastAsia="黑体" w:cs="黑体"/>
          <w:b w:val="0"/>
          <w:bCs w:val="0"/>
          <w:color w:val="auto"/>
          <w:spacing w:val="0"/>
          <w:sz w:val="32"/>
          <w:szCs w:val="32"/>
        </w:rPr>
        <w:t>一、起草背景</w:t>
      </w:r>
    </w:p>
    <w:p>
      <w:pPr>
        <w:pStyle w:val="2"/>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中共中央国务院《关于深化医疗保障制度改革的意见》(中发〔2020〕5号)明确：完善医药服务价格形成机制，建立以市场为主导的药品、医用耗材价格形成机制，建立价格科学确定、动态调整机制，持续优化医疗服务价格结构。</w:t>
      </w:r>
    </w:p>
    <w:p>
      <w:pPr>
        <w:pStyle w:val="2"/>
        <w:keepNext w:val="0"/>
        <w:keepLines w:val="0"/>
        <w:pageBreakBefore w:val="0"/>
        <w:widowControl w:val="0"/>
        <w:kinsoku/>
        <w:wordWrap w:val="0"/>
        <w:overflowPunct w:val="0"/>
        <w:topLinePunct/>
        <w:autoSpaceDE/>
        <w:autoSpaceDN/>
        <w:bidi w:val="0"/>
        <w:spacing w:line="560" w:lineRule="exact"/>
        <w:ind w:left="0" w:leftChars="0" w:right="71" w:firstLine="640" w:firstLineChars="200"/>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《关于印发深化医药卫生体制改革2023年下半年重点工作任务的通知》（国卫体改发〔2023〕23号）明确</w:t>
      </w:r>
      <w:r>
        <w:rPr>
          <w:rFonts w:hint="eastAsia" w:ascii="仿宋" w:hAnsi="仿宋" w:eastAsia="仿宋" w:cs="仿宋"/>
          <w:color w:val="auto"/>
          <w:spacing w:val="0"/>
          <w:sz w:val="32"/>
          <w:szCs w:val="32"/>
          <w:lang w:eastAsia="zh-CN"/>
        </w:rPr>
        <w:t>：</w:t>
      </w:r>
      <w:r>
        <w:rPr>
          <w:rFonts w:hint="eastAsia" w:ascii="仿宋" w:hAnsi="仿宋" w:eastAsia="仿宋" w:cs="仿宋"/>
          <w:color w:val="auto"/>
          <w:spacing w:val="0"/>
          <w:sz w:val="32"/>
          <w:szCs w:val="32"/>
        </w:rPr>
        <w:t>强化医疗服务价格宏观管理和动态调整，强化基本医疗服务公益属性，突出体现对技术劳务价值的支持力度，促进医疗服务创新发展，保障群众获得高质量、有效率、能负担的医疗卫生服务。</w:t>
      </w:r>
    </w:p>
    <w:p>
      <w:pPr>
        <w:pStyle w:val="2"/>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湖南省医疗保障局</w:t>
      </w:r>
      <w:r>
        <w:rPr>
          <w:rFonts w:hint="eastAsia" w:ascii="仿宋" w:hAnsi="仿宋" w:eastAsia="仿宋" w:cs="仿宋"/>
          <w:color w:val="auto"/>
          <w:spacing w:val="0"/>
          <w:kern w:val="0"/>
          <w:sz w:val="32"/>
          <w:szCs w:val="32"/>
          <w:shd w:val="clear" w:fill="FFFFFF"/>
          <w:lang w:val="en-US" w:eastAsia="zh-CN" w:bidi="ar"/>
        </w:rPr>
        <w:t>《关于建立医疗服务价格动态调整机制的实施意见》（湘医保发〔2021〕18号）</w:t>
      </w:r>
      <w:r>
        <w:rPr>
          <w:rFonts w:hint="eastAsia" w:ascii="仿宋" w:hAnsi="仿宋" w:eastAsia="仿宋" w:cs="仿宋"/>
          <w:color w:val="auto"/>
          <w:spacing w:val="0"/>
          <w:sz w:val="32"/>
          <w:szCs w:val="32"/>
        </w:rPr>
        <w:t>明确：</w:t>
      </w:r>
      <w:r>
        <w:rPr>
          <w:rFonts w:hint="eastAsia" w:ascii="仿宋" w:hAnsi="仿宋" w:eastAsia="仿宋" w:cs="仿宋"/>
          <w:color w:val="auto"/>
          <w:spacing w:val="0"/>
          <w:sz w:val="32"/>
          <w:szCs w:val="32"/>
          <w:lang w:eastAsia="zh-CN"/>
        </w:rPr>
        <w:t>坚持</w:t>
      </w:r>
      <w:r>
        <w:rPr>
          <w:rFonts w:hint="eastAsia" w:ascii="仿宋" w:hAnsi="仿宋" w:eastAsia="仿宋" w:cs="仿宋"/>
          <w:color w:val="auto"/>
          <w:spacing w:val="0"/>
          <w:sz w:val="32"/>
          <w:szCs w:val="32"/>
        </w:rPr>
        <w:t>“总量控制、结构调整、有升有降、逐步到位”的原则，与财政补助相衔接，建立和完善医疗服务价格动态调整机制，积极稳妥推进医疗服务价格改革。各市州医疗保障局根据全省医疗服务价格动态调整总体安排，负责实施辖区内各级各类公立医疗机构医疗服务价格的动态调整工作</w:t>
      </w:r>
      <w:r>
        <w:rPr>
          <w:rFonts w:hint="eastAsia" w:ascii="仿宋" w:hAnsi="仿宋" w:eastAsia="仿宋" w:cs="仿宋"/>
          <w:color w:val="auto"/>
          <w:spacing w:val="0"/>
          <w:sz w:val="32"/>
          <w:szCs w:val="32"/>
          <w:lang w:eastAsia="zh-CN"/>
        </w:rPr>
        <w:t>。</w:t>
      </w:r>
    </w:p>
    <w:p>
      <w:pPr>
        <w:pStyle w:val="2"/>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仿宋" w:hAnsi="仿宋" w:eastAsia="仿宋" w:cs="仿宋"/>
          <w:color w:val="auto"/>
          <w:spacing w:val="0"/>
          <w:sz w:val="32"/>
          <w:szCs w:val="32"/>
          <w:lang w:eastAsia="zh-CN"/>
        </w:rPr>
      </w:pPr>
      <w:r>
        <w:rPr>
          <w:rFonts w:hint="eastAsia" w:ascii="仿宋" w:hAnsi="仿宋" w:eastAsia="仿宋" w:cs="仿宋"/>
          <w:color w:val="auto"/>
          <w:spacing w:val="0"/>
          <w:sz w:val="32"/>
          <w:szCs w:val="32"/>
        </w:rPr>
        <w:t>湖南省医疗保障局</w:t>
      </w:r>
      <w:r>
        <w:rPr>
          <w:rFonts w:hint="eastAsia" w:ascii="仿宋" w:hAnsi="仿宋" w:eastAsia="仿宋" w:cs="仿宋"/>
          <w:color w:val="auto"/>
          <w:spacing w:val="0"/>
          <w:sz w:val="32"/>
          <w:szCs w:val="32"/>
          <w:lang w:eastAsia="zh-CN"/>
        </w:rPr>
        <w:t>《</w:t>
      </w:r>
      <w:r>
        <w:rPr>
          <w:rFonts w:hint="eastAsia" w:ascii="仿宋" w:hAnsi="仿宋" w:eastAsia="仿宋" w:cs="仿宋"/>
          <w:color w:val="auto"/>
          <w:spacing w:val="0"/>
          <w:sz w:val="32"/>
          <w:szCs w:val="32"/>
        </w:rPr>
        <w:t>关于实施2023年医疗服务价格动态调整的通知</w:t>
      </w:r>
      <w:r>
        <w:rPr>
          <w:rFonts w:hint="eastAsia" w:ascii="仿宋" w:hAnsi="仿宋" w:eastAsia="仿宋" w:cs="仿宋"/>
          <w:color w:val="auto"/>
          <w:spacing w:val="0"/>
          <w:sz w:val="32"/>
          <w:szCs w:val="32"/>
          <w:lang w:eastAsia="zh-CN"/>
        </w:rPr>
        <w:t>》（湘医保发〔2023〕51号）要求：</w:t>
      </w:r>
      <w:r>
        <w:rPr>
          <w:rFonts w:hint="eastAsia" w:ascii="仿宋" w:hAnsi="仿宋" w:eastAsia="仿宋" w:cs="仿宋"/>
          <w:color w:val="auto"/>
          <w:spacing w:val="0"/>
          <w:sz w:val="32"/>
          <w:szCs w:val="32"/>
        </w:rPr>
        <w:t>根据</w:t>
      </w:r>
      <w:r>
        <w:rPr>
          <w:rFonts w:hint="eastAsia" w:ascii="仿宋" w:hAnsi="仿宋" w:eastAsia="仿宋" w:cs="仿宋"/>
          <w:color w:val="auto"/>
          <w:spacing w:val="0"/>
          <w:sz w:val="32"/>
          <w:szCs w:val="32"/>
          <w:lang w:val="en-US" w:eastAsia="zh-CN"/>
        </w:rPr>
        <w:t>2023年</w:t>
      </w:r>
      <w:r>
        <w:rPr>
          <w:rFonts w:hint="eastAsia" w:ascii="仿宋" w:hAnsi="仿宋" w:eastAsia="仿宋" w:cs="仿宋"/>
          <w:color w:val="auto"/>
          <w:spacing w:val="0"/>
          <w:sz w:val="32"/>
          <w:szCs w:val="32"/>
        </w:rPr>
        <w:t>调价评估结果</w:t>
      </w:r>
      <w:r>
        <w:rPr>
          <w:rFonts w:hint="eastAsia" w:ascii="仿宋" w:hAnsi="仿宋" w:eastAsia="仿宋" w:cs="仿宋"/>
          <w:color w:val="auto"/>
          <w:spacing w:val="0"/>
          <w:sz w:val="32"/>
          <w:szCs w:val="32"/>
          <w:lang w:eastAsia="zh-CN"/>
        </w:rPr>
        <w:t>实施2023年医疗服务价格动态调整。各市州医疗保障局总体上应按照《价格调整表》,结合本地实际，制定辖区内公立医疗机构医疗服务价格调整方案，年底前完成调价工作，确保动态调整调价总量=“核定调价总量”+调降项目拓展的调价总量。</w:t>
      </w:r>
    </w:p>
    <w:p>
      <w:pPr>
        <w:pStyle w:val="2"/>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为贯彻落实国家、省统一部署和安排，有必要制定《益阳市医疗保障局关于调整益阳市公立医疗机构部分医疗服务价格的通知》(以下简称《通知》),指导各</w:t>
      </w:r>
      <w:r>
        <w:rPr>
          <w:rFonts w:hint="eastAsia" w:ascii="仿宋" w:hAnsi="仿宋" w:eastAsia="仿宋" w:cs="仿宋"/>
          <w:color w:val="auto"/>
          <w:spacing w:val="0"/>
          <w:sz w:val="32"/>
          <w:szCs w:val="32"/>
          <w:lang w:eastAsia="zh-CN"/>
        </w:rPr>
        <w:t>县市区</w:t>
      </w:r>
      <w:r>
        <w:rPr>
          <w:rFonts w:hint="eastAsia" w:ascii="仿宋" w:hAnsi="仿宋" w:eastAsia="仿宋" w:cs="仿宋"/>
          <w:color w:val="auto"/>
          <w:spacing w:val="0"/>
          <w:sz w:val="32"/>
          <w:szCs w:val="32"/>
        </w:rPr>
        <w:t>推进落实，逐步实现改革目标。</w:t>
      </w:r>
    </w:p>
    <w:p>
      <w:pPr>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黑体" w:hAnsi="黑体" w:eastAsia="黑体" w:cs="黑体"/>
          <w:b w:val="0"/>
          <w:bCs w:val="0"/>
          <w:color w:val="auto"/>
          <w:spacing w:val="0"/>
          <w:sz w:val="32"/>
          <w:szCs w:val="32"/>
        </w:rPr>
      </w:pPr>
      <w:r>
        <w:rPr>
          <w:rFonts w:hint="eastAsia" w:ascii="黑体" w:hAnsi="黑体" w:eastAsia="黑体" w:cs="黑体"/>
          <w:b w:val="0"/>
          <w:bCs w:val="0"/>
          <w:color w:val="auto"/>
          <w:spacing w:val="0"/>
          <w:sz w:val="32"/>
          <w:szCs w:val="32"/>
        </w:rPr>
        <w:t>二、起草过程</w:t>
      </w:r>
    </w:p>
    <w:p>
      <w:pPr>
        <w:pStyle w:val="2"/>
        <w:keepNext w:val="0"/>
        <w:keepLines w:val="0"/>
        <w:pageBreakBefore w:val="0"/>
        <w:widowControl w:val="0"/>
        <w:numPr>
          <w:ilvl w:val="0"/>
          <w:numId w:val="1"/>
        </w:numPr>
        <w:kinsoku/>
        <w:wordWrap w:val="0"/>
        <w:overflowPunct w:val="0"/>
        <w:topLinePunct/>
        <w:autoSpaceDE/>
        <w:autoSpaceDN/>
        <w:bidi w:val="0"/>
        <w:spacing w:line="560" w:lineRule="exact"/>
        <w:ind w:left="0" w:leftChars="0" w:right="149" w:firstLine="640" w:firstLineChars="200"/>
        <w:jc w:val="both"/>
        <w:rPr>
          <w:rFonts w:hint="eastAsia" w:ascii="仿宋" w:hAnsi="仿宋" w:eastAsia="仿宋" w:cs="仿宋"/>
          <w:color w:val="auto"/>
          <w:spacing w:val="0"/>
          <w:sz w:val="32"/>
          <w:szCs w:val="32"/>
        </w:rPr>
      </w:pPr>
      <w:r>
        <w:rPr>
          <w:rFonts w:hint="eastAsia" w:ascii="楷体" w:hAnsi="楷体" w:eastAsia="楷体" w:cs="楷体"/>
          <w:color w:val="auto"/>
          <w:spacing w:val="0"/>
          <w:sz w:val="32"/>
          <w:szCs w:val="32"/>
        </w:rPr>
        <w:t>有效做好评估。</w:t>
      </w:r>
      <w:r>
        <w:rPr>
          <w:rFonts w:hint="eastAsia" w:ascii="仿宋" w:hAnsi="仿宋" w:eastAsia="仿宋" w:cs="仿宋"/>
          <w:color w:val="auto"/>
          <w:spacing w:val="0"/>
          <w:sz w:val="32"/>
          <w:szCs w:val="32"/>
        </w:rPr>
        <w:t>从202</w:t>
      </w:r>
      <w:r>
        <w:rPr>
          <w:rFonts w:hint="eastAsia" w:ascii="仿宋" w:hAnsi="仿宋" w:eastAsia="仿宋" w:cs="仿宋"/>
          <w:color w:val="auto"/>
          <w:spacing w:val="0"/>
          <w:sz w:val="32"/>
          <w:szCs w:val="32"/>
          <w:lang w:val="en-US" w:eastAsia="zh-CN"/>
        </w:rPr>
        <w:t>3</w:t>
      </w:r>
      <w:r>
        <w:rPr>
          <w:rFonts w:hint="eastAsia" w:ascii="仿宋" w:hAnsi="仿宋" w:eastAsia="仿宋" w:cs="仿宋"/>
          <w:color w:val="auto"/>
          <w:spacing w:val="0"/>
          <w:sz w:val="32"/>
          <w:szCs w:val="32"/>
        </w:rPr>
        <w:t>年</w:t>
      </w:r>
      <w:r>
        <w:rPr>
          <w:rFonts w:hint="eastAsia" w:ascii="仿宋" w:hAnsi="仿宋" w:eastAsia="仿宋" w:cs="仿宋"/>
          <w:color w:val="auto"/>
          <w:spacing w:val="0"/>
          <w:sz w:val="32"/>
          <w:szCs w:val="32"/>
          <w:lang w:val="en-US" w:eastAsia="zh-CN"/>
        </w:rPr>
        <w:t>4</w:t>
      </w:r>
      <w:r>
        <w:rPr>
          <w:rFonts w:hint="eastAsia" w:ascii="仿宋" w:hAnsi="仿宋" w:eastAsia="仿宋" w:cs="仿宋"/>
          <w:color w:val="auto"/>
          <w:spacing w:val="0"/>
          <w:sz w:val="32"/>
          <w:szCs w:val="32"/>
        </w:rPr>
        <w:t>月开始，</w:t>
      </w:r>
      <w:r>
        <w:rPr>
          <w:rFonts w:hint="eastAsia" w:ascii="仿宋" w:hAnsi="仿宋" w:eastAsia="仿宋" w:cs="仿宋"/>
          <w:color w:val="auto"/>
          <w:spacing w:val="0"/>
          <w:kern w:val="0"/>
          <w:sz w:val="32"/>
          <w:szCs w:val="32"/>
          <w:lang w:val="en-US" w:eastAsia="zh-CN"/>
        </w:rPr>
        <w:t>市局</w:t>
      </w:r>
      <w:r>
        <w:rPr>
          <w:rFonts w:hint="eastAsia" w:ascii="仿宋" w:hAnsi="仿宋" w:eastAsia="仿宋" w:cs="仿宋"/>
          <w:color w:val="auto"/>
          <w:spacing w:val="0"/>
          <w:sz w:val="32"/>
          <w:szCs w:val="32"/>
          <w:lang w:val="en-US" w:eastAsia="zh-CN"/>
        </w:rPr>
        <w:t>聘请第三方信息技术咨询服务公司</w:t>
      </w:r>
      <w:r>
        <w:rPr>
          <w:rFonts w:hint="eastAsia" w:ascii="仿宋" w:hAnsi="仿宋" w:eastAsia="仿宋" w:cs="仿宋"/>
          <w:color w:val="auto"/>
          <w:spacing w:val="0"/>
          <w:sz w:val="32"/>
          <w:szCs w:val="32"/>
        </w:rPr>
        <w:t>对全市15</w:t>
      </w:r>
      <w:r>
        <w:rPr>
          <w:rFonts w:hint="eastAsia" w:ascii="仿宋" w:hAnsi="仿宋" w:eastAsia="仿宋" w:cs="仿宋"/>
          <w:color w:val="auto"/>
          <w:spacing w:val="0"/>
          <w:sz w:val="32"/>
          <w:szCs w:val="32"/>
          <w:lang w:val="en-US" w:eastAsia="zh-CN"/>
        </w:rPr>
        <w:t>1</w:t>
      </w:r>
      <w:r>
        <w:rPr>
          <w:rFonts w:hint="eastAsia" w:ascii="仿宋" w:hAnsi="仿宋" w:eastAsia="仿宋" w:cs="仿宋"/>
          <w:color w:val="auto"/>
          <w:spacing w:val="0"/>
          <w:sz w:val="32"/>
          <w:szCs w:val="32"/>
        </w:rPr>
        <w:t>家公立医疗机构202</w:t>
      </w:r>
      <w:r>
        <w:rPr>
          <w:rFonts w:hint="eastAsia" w:ascii="仿宋" w:hAnsi="仿宋" w:eastAsia="仿宋" w:cs="仿宋"/>
          <w:color w:val="auto"/>
          <w:spacing w:val="0"/>
          <w:sz w:val="32"/>
          <w:szCs w:val="32"/>
          <w:lang w:val="en-US" w:eastAsia="zh-CN"/>
        </w:rPr>
        <w:t>2</w:t>
      </w:r>
      <w:r>
        <w:rPr>
          <w:rFonts w:hint="eastAsia" w:ascii="仿宋" w:hAnsi="仿宋" w:eastAsia="仿宋" w:cs="仿宋"/>
          <w:color w:val="auto"/>
          <w:spacing w:val="0"/>
          <w:sz w:val="32"/>
          <w:szCs w:val="32"/>
        </w:rPr>
        <w:t>年医疗机构医疗服务项目、价格、成本、费用、收入分配及改革运行情况等进行了监测评估，综合考虑益阳市经济社会发展情况、居民消费价格指数和城乡居民可支配收入水平、医药费用结构及增长情况、医疗服务成本变化、医疗机构运行状况、医保基金承受能力、患者医疗费用负担等多种因素。调价评估报告</w:t>
      </w:r>
      <w:r>
        <w:rPr>
          <w:rFonts w:hint="eastAsia" w:ascii="仿宋" w:hAnsi="仿宋" w:eastAsia="仿宋" w:cs="仿宋"/>
          <w:color w:val="auto"/>
          <w:spacing w:val="0"/>
          <w:sz w:val="32"/>
          <w:szCs w:val="32"/>
          <w:lang w:eastAsia="zh-CN"/>
        </w:rPr>
        <w:t>：</w:t>
      </w:r>
      <w:r>
        <w:rPr>
          <w:rFonts w:hint="eastAsia" w:ascii="仿宋" w:hAnsi="仿宋" w:eastAsia="仿宋" w:cs="仿宋"/>
          <w:color w:val="auto"/>
          <w:spacing w:val="0"/>
          <w:sz w:val="32"/>
          <w:szCs w:val="32"/>
        </w:rPr>
        <w:t>益阳市公立医疗机构医疗总收入年增长率低于GDP增长率，符合动态调整机制启动条件，但居民医保统筹基金实际可支付月数低于3个月，触发约束条件，动态调整机制不能启动，需在省局指导下实施“有升有降，调价总量为负增长的结构性调整”。</w:t>
      </w:r>
    </w:p>
    <w:p>
      <w:pPr>
        <w:pStyle w:val="2"/>
        <w:keepNext w:val="0"/>
        <w:keepLines w:val="0"/>
        <w:pageBreakBefore w:val="0"/>
        <w:widowControl w:val="0"/>
        <w:numPr>
          <w:ilvl w:val="0"/>
          <w:numId w:val="1"/>
        </w:numPr>
        <w:kinsoku/>
        <w:wordWrap w:val="0"/>
        <w:overflowPunct w:val="0"/>
        <w:topLinePunct/>
        <w:autoSpaceDE/>
        <w:autoSpaceDN/>
        <w:bidi w:val="0"/>
        <w:spacing w:line="560" w:lineRule="exact"/>
        <w:ind w:left="0" w:leftChars="0" w:right="149" w:firstLine="640" w:firstLineChars="200"/>
        <w:jc w:val="both"/>
        <w:rPr>
          <w:rFonts w:hint="eastAsia" w:ascii="仿宋" w:hAnsi="仿宋" w:eastAsia="仿宋" w:cs="仿宋"/>
          <w:color w:val="auto"/>
          <w:spacing w:val="0"/>
          <w:sz w:val="32"/>
          <w:szCs w:val="32"/>
        </w:rPr>
      </w:pPr>
      <w:r>
        <w:rPr>
          <w:rFonts w:hint="eastAsia" w:ascii="楷体" w:hAnsi="楷体" w:eastAsia="楷体" w:cs="楷体"/>
          <w:color w:val="auto"/>
          <w:spacing w:val="0"/>
          <w:sz w:val="32"/>
          <w:szCs w:val="32"/>
        </w:rPr>
        <w:t>及时召开会议。</w:t>
      </w:r>
      <w:r>
        <w:rPr>
          <w:rFonts w:hint="eastAsia" w:ascii="仿宋" w:hAnsi="仿宋" w:eastAsia="仿宋" w:cs="仿宋"/>
          <w:color w:val="auto"/>
          <w:spacing w:val="0"/>
          <w:sz w:val="32"/>
          <w:szCs w:val="32"/>
        </w:rPr>
        <w:t>1</w:t>
      </w:r>
      <w:r>
        <w:rPr>
          <w:rFonts w:hint="eastAsia" w:cs="仿宋"/>
          <w:color w:val="auto"/>
          <w:spacing w:val="0"/>
          <w:sz w:val="32"/>
          <w:szCs w:val="32"/>
          <w:lang w:val="en-US" w:eastAsia="zh-CN"/>
        </w:rPr>
        <w:t>1</w:t>
      </w:r>
      <w:r>
        <w:rPr>
          <w:rFonts w:hint="eastAsia" w:ascii="仿宋" w:hAnsi="仿宋" w:eastAsia="仿宋" w:cs="仿宋"/>
          <w:color w:val="auto"/>
          <w:spacing w:val="0"/>
          <w:sz w:val="32"/>
          <w:szCs w:val="32"/>
        </w:rPr>
        <w:t>月</w:t>
      </w:r>
      <w:r>
        <w:rPr>
          <w:rFonts w:hint="eastAsia" w:cs="仿宋"/>
          <w:color w:val="auto"/>
          <w:spacing w:val="0"/>
          <w:sz w:val="32"/>
          <w:szCs w:val="32"/>
          <w:lang w:val="en-US" w:eastAsia="zh-CN"/>
        </w:rPr>
        <w:t>29</w:t>
      </w:r>
      <w:bookmarkStart w:id="0" w:name="_GoBack"/>
      <w:bookmarkEnd w:id="0"/>
      <w:r>
        <w:rPr>
          <w:rFonts w:hint="eastAsia" w:ascii="仿宋" w:hAnsi="仿宋" w:eastAsia="仿宋" w:cs="仿宋"/>
          <w:color w:val="auto"/>
          <w:spacing w:val="0"/>
          <w:sz w:val="32"/>
          <w:szCs w:val="32"/>
          <w:lang w:val="en-US" w:eastAsia="zh-CN"/>
        </w:rPr>
        <w:t>日</w:t>
      </w:r>
      <w:r>
        <w:rPr>
          <w:rFonts w:hint="eastAsia" w:ascii="仿宋" w:hAnsi="仿宋" w:eastAsia="仿宋" w:cs="仿宋"/>
          <w:color w:val="auto"/>
          <w:spacing w:val="0"/>
          <w:sz w:val="32"/>
          <w:szCs w:val="32"/>
        </w:rPr>
        <w:t>，</w:t>
      </w:r>
      <w:r>
        <w:rPr>
          <w:rFonts w:hint="eastAsia" w:ascii="仿宋" w:hAnsi="仿宋" w:eastAsia="仿宋" w:cs="仿宋"/>
          <w:color w:val="auto"/>
          <w:spacing w:val="0"/>
          <w:sz w:val="32"/>
          <w:szCs w:val="32"/>
          <w:lang w:eastAsia="zh-CN"/>
        </w:rPr>
        <w:t>市局</w:t>
      </w:r>
      <w:r>
        <w:rPr>
          <w:rFonts w:hint="eastAsia" w:ascii="仿宋" w:hAnsi="仿宋" w:eastAsia="仿宋" w:cs="仿宋"/>
          <w:color w:val="auto"/>
          <w:spacing w:val="0"/>
          <w:sz w:val="32"/>
          <w:szCs w:val="32"/>
        </w:rPr>
        <w:t>联合市财政、卫健、市场监督部门召开了价格调整工作启动会，形成了价格调整初步方案，明确了调价工作的时间表和路线图。于12月12日再次组织召开价格调整交流座谈会议，进一步征集市直相关部门、县市区医保部门和各公立医疗机构意见建议。</w:t>
      </w:r>
    </w:p>
    <w:p>
      <w:pPr>
        <w:pStyle w:val="2"/>
        <w:keepNext w:val="0"/>
        <w:keepLines w:val="0"/>
        <w:pageBreakBefore w:val="0"/>
        <w:widowControl w:val="0"/>
        <w:numPr>
          <w:ilvl w:val="0"/>
          <w:numId w:val="1"/>
        </w:numPr>
        <w:kinsoku/>
        <w:wordWrap w:val="0"/>
        <w:overflowPunct w:val="0"/>
        <w:topLinePunct/>
        <w:autoSpaceDE/>
        <w:autoSpaceDN/>
        <w:bidi w:val="0"/>
        <w:spacing w:line="560" w:lineRule="exact"/>
        <w:ind w:left="0" w:leftChars="0" w:right="149" w:firstLine="640" w:firstLineChars="200"/>
        <w:jc w:val="both"/>
        <w:rPr>
          <w:rFonts w:hint="eastAsia" w:ascii="仿宋" w:hAnsi="仿宋" w:eastAsia="仿宋" w:cs="仿宋"/>
          <w:color w:val="auto"/>
          <w:spacing w:val="0"/>
          <w:sz w:val="32"/>
          <w:szCs w:val="32"/>
        </w:rPr>
      </w:pPr>
      <w:r>
        <w:rPr>
          <w:rFonts w:hint="eastAsia" w:ascii="楷体" w:hAnsi="楷体" w:eastAsia="楷体" w:cs="楷体"/>
          <w:color w:val="auto"/>
          <w:spacing w:val="0"/>
          <w:sz w:val="32"/>
          <w:szCs w:val="32"/>
        </w:rPr>
        <w:t>做好挂网征集。</w:t>
      </w:r>
      <w:r>
        <w:rPr>
          <w:rFonts w:hint="eastAsia" w:ascii="仿宋" w:hAnsi="仿宋" w:eastAsia="仿宋" w:cs="仿宋"/>
          <w:color w:val="auto"/>
          <w:spacing w:val="0"/>
          <w:sz w:val="32"/>
          <w:szCs w:val="32"/>
        </w:rPr>
        <w:t>为确保医疗服务价格意见征集公开、公正、阳光、透明，及时在官网上发布了公开征求意见稿，向社会公众广泛征求意见。</w:t>
      </w:r>
    </w:p>
    <w:p>
      <w:pPr>
        <w:pStyle w:val="2"/>
        <w:keepNext w:val="0"/>
        <w:keepLines w:val="0"/>
        <w:pageBreakBefore w:val="0"/>
        <w:widowControl w:val="0"/>
        <w:kinsoku/>
        <w:wordWrap w:val="0"/>
        <w:overflowPunct w:val="0"/>
        <w:topLinePunct/>
        <w:autoSpaceDE/>
        <w:autoSpaceDN/>
        <w:bidi w:val="0"/>
        <w:spacing w:line="560" w:lineRule="exact"/>
        <w:ind w:left="0" w:leftChars="0" w:right="149" w:firstLine="640" w:firstLineChars="200"/>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根据各方面的意见和建议，</w:t>
      </w:r>
      <w:r>
        <w:rPr>
          <w:rFonts w:hint="eastAsia" w:ascii="仿宋" w:hAnsi="仿宋" w:eastAsia="仿宋" w:cs="仿宋"/>
          <w:color w:val="auto"/>
          <w:spacing w:val="0"/>
          <w:sz w:val="32"/>
          <w:szCs w:val="32"/>
          <w:lang w:eastAsia="zh-CN"/>
        </w:rPr>
        <w:t>对调价方案</w:t>
      </w:r>
      <w:r>
        <w:rPr>
          <w:rFonts w:hint="eastAsia" w:ascii="仿宋" w:hAnsi="仿宋" w:eastAsia="仿宋" w:cs="仿宋"/>
          <w:color w:val="auto"/>
          <w:spacing w:val="0"/>
          <w:sz w:val="32"/>
          <w:szCs w:val="32"/>
        </w:rPr>
        <w:t>进一步修改完善，形成了《益阳市2023年公立医疗机构医疗服务价格调整表》,并作为重大事项报告省医保局，省医保局批复同意。</w:t>
      </w:r>
    </w:p>
    <w:p>
      <w:pPr>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黑体" w:hAnsi="黑体" w:eastAsia="黑体" w:cs="黑体"/>
          <w:b w:val="0"/>
          <w:bCs w:val="0"/>
          <w:color w:val="auto"/>
          <w:spacing w:val="0"/>
          <w:sz w:val="32"/>
          <w:szCs w:val="32"/>
        </w:rPr>
      </w:pPr>
    </w:p>
    <w:p>
      <w:pPr>
        <w:keepNext w:val="0"/>
        <w:keepLines w:val="0"/>
        <w:pageBreakBefore w:val="0"/>
        <w:widowControl w:val="0"/>
        <w:kinsoku/>
        <w:wordWrap w:val="0"/>
        <w:overflowPunct w:val="0"/>
        <w:topLinePunct/>
        <w:autoSpaceDE/>
        <w:autoSpaceDN/>
        <w:bidi w:val="0"/>
        <w:spacing w:line="560" w:lineRule="exact"/>
        <w:ind w:left="0" w:leftChars="0" w:firstLine="640" w:firstLineChars="200"/>
        <w:jc w:val="both"/>
        <w:rPr>
          <w:rFonts w:hint="eastAsia" w:ascii="黑体" w:hAnsi="黑体" w:eastAsia="黑体" w:cs="黑体"/>
          <w:b w:val="0"/>
          <w:bCs w:val="0"/>
          <w:color w:val="auto"/>
          <w:spacing w:val="0"/>
          <w:sz w:val="32"/>
          <w:szCs w:val="32"/>
        </w:rPr>
      </w:pPr>
      <w:r>
        <w:rPr>
          <w:rFonts w:hint="eastAsia" w:ascii="黑体" w:hAnsi="黑体" w:eastAsia="黑体" w:cs="黑体"/>
          <w:b w:val="0"/>
          <w:bCs w:val="0"/>
          <w:color w:val="auto"/>
          <w:spacing w:val="0"/>
          <w:sz w:val="32"/>
          <w:szCs w:val="32"/>
        </w:rPr>
        <w:t>三、主要内容</w:t>
      </w:r>
    </w:p>
    <w:p>
      <w:pPr>
        <w:keepNext w:val="0"/>
        <w:keepLines w:val="0"/>
        <w:pageBreakBefore w:val="0"/>
        <w:widowControl w:val="0"/>
        <w:numPr>
          <w:ilvl w:val="0"/>
          <w:numId w:val="0"/>
        </w:numPr>
        <w:shd w:val="clear" w:color="auto" w:fill="FFFFFF"/>
        <w:kinsoku/>
        <w:wordWrap w:val="0"/>
        <w:overflowPunct w:val="0"/>
        <w:topLinePunct/>
        <w:autoSpaceDE/>
        <w:autoSpaceDN/>
        <w:bidi w:val="0"/>
        <w:adjustRightInd/>
        <w:snapToGrid/>
        <w:spacing w:line="560" w:lineRule="exact"/>
        <w:ind w:left="0" w:leftChars="0" w:firstLine="640" w:firstLineChars="200"/>
        <w:jc w:val="both"/>
        <w:textAlignment w:val="auto"/>
        <w:rPr>
          <w:rFonts w:hint="eastAsia" w:ascii="仿宋" w:hAnsi="仿宋" w:eastAsia="仿宋" w:cs="仿宋"/>
          <w:color w:val="auto"/>
          <w:spacing w:val="0"/>
          <w:kern w:val="0"/>
          <w:sz w:val="32"/>
          <w:szCs w:val="32"/>
        </w:rPr>
      </w:pPr>
      <w:r>
        <w:rPr>
          <w:rFonts w:hint="eastAsia" w:ascii="楷体" w:hAnsi="楷体" w:eastAsia="楷体" w:cs="楷体"/>
          <w:snapToGrid w:val="0"/>
          <w:color w:val="auto"/>
          <w:spacing w:val="0"/>
          <w:kern w:val="0"/>
          <w:sz w:val="32"/>
          <w:szCs w:val="32"/>
          <w:lang w:val="en-US" w:eastAsia="zh-CN" w:bidi="ar-SA"/>
        </w:rPr>
        <w:t>（一）</w:t>
      </w:r>
      <w:r>
        <w:rPr>
          <w:rFonts w:hint="eastAsia" w:ascii="楷体" w:hAnsi="楷体" w:eastAsia="楷体" w:cs="楷体"/>
          <w:snapToGrid w:val="0"/>
          <w:color w:val="auto"/>
          <w:spacing w:val="0"/>
          <w:kern w:val="0"/>
          <w:sz w:val="32"/>
          <w:szCs w:val="32"/>
          <w:lang w:val="en-US" w:eastAsia="en-US" w:bidi="ar-SA"/>
        </w:rPr>
        <w:t>全市医疗服务价格</w:t>
      </w:r>
      <w:r>
        <w:rPr>
          <w:rFonts w:hint="eastAsia" w:ascii="楷体" w:hAnsi="楷体" w:eastAsia="楷体" w:cs="楷体"/>
          <w:snapToGrid w:val="0"/>
          <w:color w:val="auto"/>
          <w:spacing w:val="0"/>
          <w:kern w:val="0"/>
          <w:sz w:val="32"/>
          <w:szCs w:val="32"/>
          <w:lang w:val="en-US" w:eastAsia="zh-CN" w:bidi="ar-SA"/>
        </w:rPr>
        <w:t>调整</w:t>
      </w:r>
      <w:r>
        <w:rPr>
          <w:rFonts w:hint="eastAsia" w:ascii="楷体" w:hAnsi="楷体" w:eastAsia="楷体" w:cs="楷体"/>
          <w:snapToGrid w:val="0"/>
          <w:color w:val="auto"/>
          <w:spacing w:val="0"/>
          <w:kern w:val="0"/>
          <w:sz w:val="32"/>
          <w:szCs w:val="32"/>
          <w:lang w:val="en-US" w:eastAsia="en-US" w:bidi="ar-SA"/>
        </w:rPr>
        <w:t>情况。</w:t>
      </w:r>
      <w:r>
        <w:rPr>
          <w:rFonts w:hint="eastAsia" w:ascii="仿宋" w:hAnsi="仿宋" w:eastAsia="仿宋" w:cs="仿宋"/>
          <w:color w:val="auto"/>
          <w:spacing w:val="0"/>
          <w:kern w:val="0"/>
          <w:sz w:val="32"/>
          <w:szCs w:val="32"/>
        </w:rPr>
        <w:t>此次共调整36个项目，</w:t>
      </w:r>
      <w:r>
        <w:rPr>
          <w:rFonts w:hint="eastAsia" w:ascii="仿宋" w:hAnsi="仿宋" w:eastAsia="仿宋" w:cs="仿宋"/>
          <w:color w:val="auto"/>
          <w:spacing w:val="0"/>
          <w:kern w:val="0"/>
          <w:sz w:val="32"/>
          <w:szCs w:val="32"/>
          <w:lang w:val="en-US" w:eastAsia="zh-CN"/>
        </w:rPr>
        <w:t>其中</w:t>
      </w:r>
      <w:r>
        <w:rPr>
          <w:rFonts w:hint="eastAsia" w:ascii="仿宋" w:hAnsi="仿宋" w:eastAsia="仿宋" w:cs="仿宋"/>
          <w:color w:val="auto"/>
          <w:spacing w:val="0"/>
          <w:kern w:val="0"/>
          <w:sz w:val="32"/>
          <w:szCs w:val="32"/>
        </w:rPr>
        <w:t>下调20个项目，上调14个项目，删除2个化验类套餐项目（250310101甲状腺功能常规检查、250310102甲状腺功能化学发光法检查）</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kern w:val="0"/>
          <w:sz w:val="32"/>
          <w:szCs w:val="32"/>
          <w:lang w:val="en-US" w:eastAsia="zh-CN"/>
        </w:rPr>
        <w:t>调降</w:t>
      </w:r>
      <w:r>
        <w:rPr>
          <w:rFonts w:hint="eastAsia" w:ascii="仿宋" w:hAnsi="仿宋" w:cs="仿宋"/>
          <w:color w:val="auto"/>
          <w:kern w:val="0"/>
          <w:sz w:val="32"/>
          <w:szCs w:val="32"/>
          <w:lang w:val="en-US" w:eastAsia="zh-CN"/>
        </w:rPr>
        <w:t>3271.70万</w:t>
      </w:r>
      <w:r>
        <w:rPr>
          <w:rFonts w:hint="eastAsia" w:ascii="仿宋" w:hAnsi="仿宋" w:eastAsia="仿宋" w:cs="仿宋"/>
          <w:color w:val="auto"/>
          <w:kern w:val="0"/>
          <w:sz w:val="32"/>
          <w:szCs w:val="32"/>
          <w:lang w:val="en-US" w:eastAsia="zh-CN"/>
        </w:rPr>
        <w:t>元，调升</w:t>
      </w:r>
      <w:r>
        <w:rPr>
          <w:rFonts w:hint="eastAsia" w:ascii="仿宋" w:hAnsi="仿宋" w:cs="仿宋"/>
          <w:color w:val="auto"/>
          <w:kern w:val="0"/>
          <w:sz w:val="32"/>
          <w:szCs w:val="32"/>
          <w:lang w:val="en-US" w:eastAsia="zh-CN"/>
        </w:rPr>
        <w:t>418.99万</w:t>
      </w:r>
      <w:r>
        <w:rPr>
          <w:rFonts w:hint="eastAsia" w:ascii="仿宋" w:hAnsi="仿宋" w:eastAsia="仿宋" w:cs="仿宋"/>
          <w:color w:val="auto"/>
          <w:kern w:val="0"/>
          <w:sz w:val="32"/>
          <w:szCs w:val="32"/>
          <w:lang w:val="en-US" w:eastAsia="zh-CN"/>
        </w:rPr>
        <w:t>元，预留即将落地的中医立项指南和新增项目增量613.71万元</w:t>
      </w:r>
      <w:r>
        <w:rPr>
          <w:rFonts w:hint="eastAsia" w:ascii="仿宋" w:hAnsi="仿宋" w:cs="仿宋"/>
          <w:color w:val="auto"/>
          <w:kern w:val="0"/>
          <w:sz w:val="32"/>
          <w:szCs w:val="32"/>
          <w:lang w:val="en-US" w:eastAsia="zh-CN"/>
        </w:rPr>
        <w:t>，</w:t>
      </w:r>
      <w:r>
        <w:rPr>
          <w:rFonts w:hint="eastAsia" w:ascii="仿宋" w:hAnsi="仿宋" w:eastAsia="仿宋" w:cs="仿宋"/>
          <w:color w:val="auto"/>
          <w:kern w:val="0"/>
          <w:sz w:val="32"/>
          <w:szCs w:val="32"/>
          <w:lang w:val="en-US" w:eastAsia="zh-CN"/>
        </w:rPr>
        <w:t>增减</w:t>
      </w:r>
      <w:r>
        <w:rPr>
          <w:rFonts w:hint="eastAsia" w:ascii="仿宋" w:hAnsi="仿宋" w:cs="仿宋"/>
          <w:color w:val="auto"/>
          <w:kern w:val="0"/>
          <w:sz w:val="32"/>
          <w:szCs w:val="32"/>
          <w:lang w:val="en-US" w:eastAsia="zh-CN"/>
        </w:rPr>
        <w:t>（</w:t>
      </w:r>
      <w:r>
        <w:rPr>
          <w:rFonts w:hint="eastAsia" w:ascii="仿宋" w:hAnsi="仿宋" w:eastAsia="仿宋" w:cs="仿宋"/>
          <w:color w:val="auto"/>
          <w:kern w:val="0"/>
          <w:sz w:val="32"/>
          <w:szCs w:val="32"/>
          <w:lang w:val="en-US" w:eastAsia="zh-CN"/>
        </w:rPr>
        <w:t>预留</w:t>
      </w:r>
      <w:r>
        <w:rPr>
          <w:rFonts w:hint="eastAsia" w:ascii="仿宋" w:hAnsi="仿宋" w:cs="仿宋"/>
          <w:color w:val="auto"/>
          <w:kern w:val="0"/>
          <w:sz w:val="32"/>
          <w:szCs w:val="32"/>
          <w:lang w:val="en-US" w:eastAsia="zh-CN"/>
        </w:rPr>
        <w:t>）</w:t>
      </w:r>
      <w:r>
        <w:rPr>
          <w:rFonts w:hint="eastAsia" w:ascii="仿宋" w:hAnsi="仿宋" w:eastAsia="仿宋" w:cs="仿宋"/>
          <w:color w:val="auto"/>
          <w:kern w:val="0"/>
          <w:sz w:val="32"/>
          <w:szCs w:val="32"/>
          <w:lang w:val="en-US" w:eastAsia="zh-CN"/>
        </w:rPr>
        <w:t>相抵后负增长</w:t>
      </w:r>
      <w:r>
        <w:rPr>
          <w:rFonts w:hint="eastAsia" w:ascii="仿宋" w:hAnsi="仿宋" w:cs="仿宋"/>
          <w:color w:val="auto"/>
          <w:kern w:val="0"/>
          <w:sz w:val="32"/>
          <w:szCs w:val="32"/>
          <w:lang w:val="en-US" w:eastAsia="zh-CN"/>
        </w:rPr>
        <w:t>2239.00</w:t>
      </w:r>
      <w:r>
        <w:rPr>
          <w:rFonts w:hint="eastAsia" w:ascii="仿宋" w:hAnsi="仿宋" w:eastAsia="仿宋" w:cs="仿宋"/>
          <w:color w:val="auto"/>
          <w:kern w:val="0"/>
          <w:sz w:val="32"/>
          <w:szCs w:val="32"/>
          <w:lang w:val="en-US" w:eastAsia="zh-CN"/>
        </w:rPr>
        <w:t>万元。</w:t>
      </w:r>
      <w:r>
        <w:rPr>
          <w:rFonts w:hint="eastAsia" w:ascii="仿宋" w:hAnsi="仿宋" w:eastAsia="仿宋" w:cs="仿宋"/>
          <w:color w:val="auto"/>
          <w:spacing w:val="0"/>
          <w:kern w:val="0"/>
          <w:sz w:val="32"/>
          <w:szCs w:val="32"/>
        </w:rPr>
        <w:t>下调项目主要为影像检查和化验类，上调项目主要是手术、药学、康复、病理类</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下调物耗为主的影像检查和化验类项目价格</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下调11个影像检查类项目价格</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下调</w:t>
      </w:r>
      <w:r>
        <w:rPr>
          <w:rFonts w:hint="eastAsia" w:ascii="仿宋" w:hAnsi="仿宋" w:eastAsia="仿宋" w:cs="仿宋"/>
          <w:color w:val="auto"/>
          <w:spacing w:val="0"/>
          <w:kern w:val="0"/>
          <w:sz w:val="32"/>
          <w:szCs w:val="32"/>
          <w:lang w:val="en-US" w:eastAsia="zh-CN"/>
        </w:rPr>
        <w:t>7</w:t>
      </w:r>
      <w:r>
        <w:rPr>
          <w:rFonts w:hint="eastAsia" w:ascii="仿宋" w:hAnsi="仿宋" w:eastAsia="仿宋" w:cs="仿宋"/>
          <w:color w:val="auto"/>
          <w:spacing w:val="0"/>
          <w:kern w:val="0"/>
          <w:sz w:val="32"/>
          <w:szCs w:val="32"/>
        </w:rPr>
        <w:t>个化验类项目价格</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下调价格过高的物理治疗和综合类项目各1个，综合下调比例为25.19%。上调体现医务人员技术劳务价值的医疗服务项目价格</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上调6个手术类医疗服务项目价格</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4个药学类医疗服务项目价格</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3个康复类项目价格</w:t>
      </w:r>
      <w:r>
        <w:rPr>
          <w:rFonts w:hint="eastAsia" w:ascii="仿宋" w:hAnsi="仿宋" w:eastAsia="仿宋" w:cs="仿宋"/>
          <w:color w:val="auto"/>
          <w:spacing w:val="0"/>
          <w:kern w:val="0"/>
          <w:sz w:val="32"/>
          <w:szCs w:val="32"/>
          <w:lang w:eastAsia="zh-CN"/>
        </w:rPr>
        <w:t>、</w:t>
      </w:r>
      <w:r>
        <w:rPr>
          <w:rFonts w:hint="eastAsia" w:ascii="仿宋" w:hAnsi="仿宋" w:eastAsia="仿宋" w:cs="仿宋"/>
          <w:color w:val="auto"/>
          <w:spacing w:val="0"/>
          <w:kern w:val="0"/>
          <w:sz w:val="32"/>
          <w:szCs w:val="32"/>
        </w:rPr>
        <w:t>1个病理类项目价格，综合上调比例为</w:t>
      </w:r>
      <w:r>
        <w:rPr>
          <w:rFonts w:hint="eastAsia" w:ascii="仿宋" w:hAnsi="仿宋" w:eastAsia="仿宋" w:cs="仿宋"/>
          <w:color w:val="auto"/>
          <w:spacing w:val="0"/>
          <w:kern w:val="0"/>
          <w:sz w:val="32"/>
          <w:szCs w:val="32"/>
          <w:lang w:val="en-US" w:eastAsia="zh-CN"/>
        </w:rPr>
        <w:t>67.87</w:t>
      </w:r>
      <w:r>
        <w:rPr>
          <w:rFonts w:hint="eastAsia" w:ascii="仿宋" w:hAnsi="仿宋" w:eastAsia="仿宋" w:cs="仿宋"/>
          <w:color w:val="auto"/>
          <w:spacing w:val="0"/>
          <w:kern w:val="0"/>
          <w:sz w:val="32"/>
          <w:szCs w:val="32"/>
        </w:rPr>
        <w:t>%。</w:t>
      </w:r>
    </w:p>
    <w:p>
      <w:pPr>
        <w:keepNext w:val="0"/>
        <w:keepLines w:val="0"/>
        <w:pageBreakBefore w:val="0"/>
        <w:widowControl w:val="0"/>
        <w:shd w:val="clear" w:color="auto" w:fill="FFFFFF"/>
        <w:kinsoku/>
        <w:wordWrap w:val="0"/>
        <w:overflowPunct w:val="0"/>
        <w:topLinePunct/>
        <w:autoSpaceDE/>
        <w:autoSpaceDN/>
        <w:bidi w:val="0"/>
        <w:adjustRightInd/>
        <w:snapToGrid/>
        <w:spacing w:line="560" w:lineRule="exact"/>
        <w:ind w:left="0" w:leftChars="0" w:firstLine="640" w:firstLineChars="200"/>
        <w:jc w:val="both"/>
        <w:textAlignment w:val="auto"/>
        <w:rPr>
          <w:rFonts w:hint="eastAsia" w:ascii="仿宋" w:hAnsi="仿宋" w:eastAsia="仿宋" w:cs="仿宋"/>
          <w:color w:val="auto"/>
          <w:spacing w:val="0"/>
          <w:kern w:val="0"/>
          <w:sz w:val="32"/>
          <w:szCs w:val="32"/>
        </w:rPr>
      </w:pPr>
      <w:r>
        <w:rPr>
          <w:rFonts w:hint="eastAsia" w:ascii="楷体" w:hAnsi="楷体" w:eastAsia="楷体" w:cs="楷体"/>
          <w:snapToGrid w:val="0"/>
          <w:color w:val="auto"/>
          <w:spacing w:val="0"/>
          <w:kern w:val="0"/>
          <w:sz w:val="32"/>
          <w:szCs w:val="32"/>
          <w:lang w:val="en-US" w:eastAsia="zh-CN" w:bidi="ar-SA"/>
        </w:rPr>
        <w:t>（二）</w:t>
      </w:r>
      <w:r>
        <w:rPr>
          <w:rFonts w:hint="eastAsia" w:ascii="楷体" w:hAnsi="楷体" w:eastAsia="楷体" w:cs="楷体"/>
          <w:snapToGrid w:val="0"/>
          <w:color w:val="auto"/>
          <w:spacing w:val="0"/>
          <w:kern w:val="0"/>
          <w:sz w:val="32"/>
          <w:szCs w:val="32"/>
          <w:lang w:val="en-US" w:eastAsia="en-US" w:bidi="ar-SA"/>
        </w:rPr>
        <w:t>分类确定医疗服务价格。</w:t>
      </w:r>
      <w:r>
        <w:rPr>
          <w:rFonts w:hint="eastAsia" w:ascii="仿宋" w:hAnsi="仿宋" w:eastAsia="仿宋" w:cs="仿宋"/>
          <w:color w:val="auto"/>
          <w:spacing w:val="0"/>
          <w:kern w:val="0"/>
          <w:sz w:val="32"/>
          <w:szCs w:val="32"/>
        </w:rPr>
        <w:t>此次调价项目确定的一类、二类、三类、基层价格标准，为全市公立医疗机构最高指导价，各公立医疗机构可自主确定下浮幅度，但不得上浮。为衔接原物价政策，益阳市中心医院已确定可加收的部分提价三、四级手术项目价格继续执行在一类价格基础上上浮5%的规定；益阳市第四人民医院、益阳市人民医院、安化县人民医院执行一类价格下浮10%的价格标准。价格调整后，原医保支付政策不变。</w:t>
      </w:r>
    </w:p>
    <w:p>
      <w:pPr>
        <w:keepNext w:val="0"/>
        <w:keepLines w:val="0"/>
        <w:pageBreakBefore w:val="0"/>
        <w:widowControl w:val="0"/>
        <w:shd w:val="clear" w:color="auto" w:fill="FFFFFF"/>
        <w:kinsoku/>
        <w:wordWrap w:val="0"/>
        <w:overflowPunct w:val="0"/>
        <w:topLinePunct/>
        <w:autoSpaceDE/>
        <w:autoSpaceDN/>
        <w:bidi w:val="0"/>
        <w:adjustRightInd/>
        <w:snapToGrid/>
        <w:spacing w:line="560" w:lineRule="exact"/>
        <w:ind w:left="0" w:leftChars="0" w:firstLine="640" w:firstLineChars="200"/>
        <w:jc w:val="both"/>
        <w:textAlignment w:val="auto"/>
        <w:rPr>
          <w:rFonts w:hint="eastAsia" w:ascii="仿宋" w:hAnsi="仿宋" w:eastAsia="仿宋" w:cs="仿宋"/>
          <w:color w:val="auto"/>
          <w:spacing w:val="0"/>
          <w:kern w:val="0"/>
          <w:sz w:val="32"/>
          <w:szCs w:val="32"/>
        </w:rPr>
      </w:pPr>
      <w:r>
        <w:rPr>
          <w:rFonts w:hint="eastAsia" w:ascii="楷体" w:hAnsi="楷体" w:eastAsia="楷体" w:cs="楷体"/>
          <w:snapToGrid w:val="0"/>
          <w:color w:val="auto"/>
          <w:spacing w:val="0"/>
          <w:kern w:val="0"/>
          <w:sz w:val="32"/>
          <w:szCs w:val="32"/>
          <w:lang w:val="en-US" w:eastAsia="zh-CN" w:bidi="ar-SA"/>
        </w:rPr>
        <w:t>（三）医疗服务价格调整实施范围。</w:t>
      </w:r>
      <w:r>
        <w:rPr>
          <w:rFonts w:hint="eastAsia" w:ascii="仿宋" w:hAnsi="仿宋" w:eastAsia="仿宋" w:cs="仿宋"/>
          <w:color w:val="auto"/>
          <w:spacing w:val="0"/>
          <w:kern w:val="0"/>
          <w:sz w:val="32"/>
          <w:szCs w:val="32"/>
        </w:rPr>
        <w:t>此次价格调整的实施范围为益阳市各级各类公立医疗机构。</w:t>
      </w:r>
    </w:p>
    <w:p>
      <w:pPr>
        <w:keepNext w:val="0"/>
        <w:keepLines w:val="0"/>
        <w:pageBreakBefore w:val="0"/>
        <w:widowControl w:val="0"/>
        <w:shd w:val="clear" w:color="auto" w:fill="FFFFFF"/>
        <w:kinsoku/>
        <w:wordWrap w:val="0"/>
        <w:overflowPunct w:val="0"/>
        <w:topLinePunct/>
        <w:autoSpaceDE/>
        <w:autoSpaceDN/>
        <w:bidi w:val="0"/>
        <w:adjustRightInd/>
        <w:snapToGrid/>
        <w:spacing w:line="560" w:lineRule="exact"/>
        <w:ind w:left="0" w:leftChars="0" w:firstLine="640" w:firstLineChars="200"/>
        <w:jc w:val="both"/>
        <w:textAlignment w:val="auto"/>
        <w:rPr>
          <w:rFonts w:hint="eastAsia" w:ascii="仿宋" w:hAnsi="仿宋" w:eastAsia="仿宋" w:cs="仿宋"/>
          <w:color w:val="auto"/>
          <w:spacing w:val="0"/>
          <w:kern w:val="0"/>
          <w:sz w:val="32"/>
          <w:szCs w:val="32"/>
        </w:rPr>
      </w:pPr>
      <w:r>
        <w:rPr>
          <w:rFonts w:hint="eastAsia" w:ascii="楷体" w:hAnsi="楷体" w:eastAsia="楷体" w:cs="楷体"/>
          <w:snapToGrid w:val="0"/>
          <w:color w:val="auto"/>
          <w:spacing w:val="0"/>
          <w:kern w:val="0"/>
          <w:sz w:val="32"/>
          <w:szCs w:val="32"/>
          <w:lang w:val="en-US" w:eastAsia="en-US" w:bidi="ar-SA"/>
        </w:rPr>
        <w:t>(四)</w:t>
      </w:r>
      <w:r>
        <w:rPr>
          <w:rFonts w:hint="eastAsia" w:ascii="楷体" w:hAnsi="楷体" w:eastAsia="楷体" w:cs="楷体"/>
          <w:snapToGrid w:val="0"/>
          <w:color w:val="auto"/>
          <w:spacing w:val="0"/>
          <w:kern w:val="0"/>
          <w:sz w:val="32"/>
          <w:szCs w:val="32"/>
          <w:lang w:val="en-US" w:eastAsia="zh-CN" w:bidi="ar-SA"/>
        </w:rPr>
        <w:t>调价执行时间。</w:t>
      </w:r>
      <w:r>
        <w:rPr>
          <w:rFonts w:hint="eastAsia" w:ascii="仿宋" w:hAnsi="仿宋" w:eastAsia="仿宋" w:cs="仿宋"/>
          <w:color w:val="auto"/>
          <w:spacing w:val="0"/>
          <w:kern w:val="0"/>
          <w:sz w:val="32"/>
          <w:szCs w:val="32"/>
        </w:rPr>
        <w:t>通知自2024年1月1日起执行。原政策文件与本通知不符的，以本通知为准。如遇国家或省出台新政策，按新政策执行。</w:t>
      </w:r>
    </w:p>
    <w:p>
      <w:pPr>
        <w:keepNext w:val="0"/>
        <w:keepLines w:val="0"/>
        <w:pageBreakBefore w:val="0"/>
        <w:widowControl w:val="0"/>
        <w:shd w:val="clear" w:color="auto" w:fill="FFFFFF"/>
        <w:kinsoku/>
        <w:wordWrap w:val="0"/>
        <w:overflowPunct w:val="0"/>
        <w:topLinePunct/>
        <w:autoSpaceDE/>
        <w:autoSpaceDN/>
        <w:bidi w:val="0"/>
        <w:adjustRightInd/>
        <w:snapToGrid/>
        <w:spacing w:line="560" w:lineRule="exact"/>
        <w:ind w:left="0" w:leftChars="0" w:firstLine="640" w:firstLineChars="200"/>
        <w:jc w:val="both"/>
        <w:textAlignment w:val="auto"/>
        <w:rPr>
          <w:rFonts w:hint="eastAsia" w:ascii="仿宋" w:hAnsi="仿宋" w:eastAsia="仿宋" w:cs="仿宋"/>
          <w:color w:val="auto"/>
          <w:spacing w:val="0"/>
          <w:kern w:val="0"/>
          <w:sz w:val="32"/>
          <w:szCs w:val="32"/>
        </w:rPr>
      </w:pPr>
      <w:r>
        <w:rPr>
          <w:rFonts w:hint="eastAsia" w:ascii="楷体" w:hAnsi="楷体" w:eastAsia="楷体" w:cs="楷体"/>
          <w:snapToGrid w:val="0"/>
          <w:color w:val="auto"/>
          <w:spacing w:val="0"/>
          <w:kern w:val="0"/>
          <w:sz w:val="32"/>
          <w:szCs w:val="32"/>
          <w:lang w:val="en-US" w:eastAsia="zh-CN" w:bidi="ar-SA"/>
        </w:rPr>
        <w:t>（五）</w:t>
      </w:r>
      <w:r>
        <w:rPr>
          <w:rFonts w:hint="eastAsia" w:ascii="楷体" w:hAnsi="楷体" w:eastAsia="楷体" w:cs="楷体"/>
          <w:snapToGrid w:val="0"/>
          <w:color w:val="auto"/>
          <w:spacing w:val="0"/>
          <w:kern w:val="0"/>
          <w:sz w:val="32"/>
          <w:szCs w:val="32"/>
          <w:lang w:val="en-US" w:eastAsia="en-US" w:bidi="ar-SA"/>
        </w:rPr>
        <w:t>实施过程规范管理。</w:t>
      </w:r>
      <w:r>
        <w:rPr>
          <w:rFonts w:hint="eastAsia" w:ascii="仿宋" w:hAnsi="仿宋" w:eastAsia="仿宋" w:cs="仿宋"/>
          <w:color w:val="auto"/>
          <w:spacing w:val="0"/>
          <w:kern w:val="0"/>
          <w:sz w:val="32"/>
          <w:szCs w:val="32"/>
          <w:lang w:eastAsia="zh-CN"/>
        </w:rPr>
        <w:t>各县市区医疗保障部门在实施调价后应做好跟踪评估工作，密切注医疗服务价格、群众医药费用负担和医保基金支付变化情况，认真研究价格调整过程中出现的问题，及时提出解决问题的政策措施。</w:t>
      </w:r>
      <w:r>
        <w:rPr>
          <w:rFonts w:hint="eastAsia" w:ascii="仿宋" w:hAnsi="仿宋" w:eastAsia="仿宋" w:cs="仿宋"/>
          <w:color w:val="auto"/>
          <w:spacing w:val="0"/>
          <w:kern w:val="0"/>
          <w:sz w:val="32"/>
          <w:szCs w:val="32"/>
        </w:rPr>
        <w:t>要做好舆情分析以及政策解读，正确引导舆论，及时回应社会关切，合理引导社会预期，为改革努力营造良好氛围。各医疗机构要健全价格信息公开制度、住院费用清单制度和价格投诉处理制度，做好医疗服务价格公示，提高医药价格透明度，接受社会监督。</w:t>
      </w:r>
    </w:p>
    <w:p>
      <w:pPr>
        <w:keepNext w:val="0"/>
        <w:keepLines w:val="0"/>
        <w:pageBreakBefore w:val="0"/>
        <w:widowControl w:val="0"/>
        <w:shd w:val="clear" w:color="auto" w:fill="FFFFFF"/>
        <w:kinsoku/>
        <w:wordWrap w:val="0"/>
        <w:overflowPunct w:val="0"/>
        <w:topLinePunct/>
        <w:autoSpaceDE/>
        <w:autoSpaceDN/>
        <w:bidi w:val="0"/>
        <w:adjustRightInd/>
        <w:snapToGrid/>
        <w:spacing w:line="560" w:lineRule="exact"/>
        <w:ind w:left="0" w:leftChars="0" w:firstLine="640" w:firstLineChars="200"/>
        <w:jc w:val="both"/>
        <w:textAlignment w:val="auto"/>
        <w:rPr>
          <w:rFonts w:hint="eastAsia" w:ascii="仿宋" w:hAnsi="仿宋" w:eastAsia="仿宋" w:cs="仿宋"/>
          <w:color w:val="auto"/>
          <w:spacing w:val="0"/>
          <w:kern w:val="0"/>
          <w:sz w:val="32"/>
          <w:szCs w:val="32"/>
        </w:rPr>
      </w:pPr>
    </w:p>
    <w:p>
      <w:pPr>
        <w:keepNext w:val="0"/>
        <w:keepLines w:val="0"/>
        <w:pageBreakBefore w:val="0"/>
        <w:widowControl w:val="0"/>
        <w:kinsoku/>
        <w:wordWrap w:val="0"/>
        <w:overflowPunct w:val="0"/>
        <w:topLinePunct/>
        <w:autoSpaceDE/>
        <w:autoSpaceDN/>
        <w:bidi w:val="0"/>
        <w:spacing w:line="560" w:lineRule="exact"/>
        <w:jc w:val="both"/>
        <w:rPr>
          <w:rFonts w:hint="eastAsia" w:ascii="仿宋" w:hAnsi="仿宋" w:eastAsia="仿宋" w:cs="仿宋"/>
          <w:color w:val="auto"/>
          <w:spacing w:val="0"/>
          <w:sz w:val="32"/>
          <w:szCs w:val="32"/>
        </w:rPr>
      </w:pPr>
    </w:p>
    <w:p>
      <w:pPr>
        <w:keepNext w:val="0"/>
        <w:keepLines w:val="0"/>
        <w:pageBreakBefore w:val="0"/>
        <w:widowControl w:val="0"/>
        <w:kinsoku/>
        <w:wordWrap w:val="0"/>
        <w:overflowPunct w:val="0"/>
        <w:topLinePunct/>
        <w:autoSpaceDE/>
        <w:autoSpaceDN/>
        <w:bidi w:val="0"/>
        <w:spacing w:line="560" w:lineRule="exact"/>
        <w:jc w:val="both"/>
        <w:rPr>
          <w:rFonts w:hint="eastAsia" w:ascii="仿宋" w:hAnsi="仿宋" w:eastAsia="仿宋" w:cs="仿宋"/>
          <w:color w:val="auto"/>
          <w:spacing w:val="0"/>
          <w:sz w:val="32"/>
          <w:szCs w:val="32"/>
        </w:rPr>
      </w:pPr>
    </w:p>
    <w:p>
      <w:pPr>
        <w:pStyle w:val="2"/>
        <w:keepNext w:val="0"/>
        <w:keepLines w:val="0"/>
        <w:pageBreakBefore w:val="0"/>
        <w:widowControl w:val="0"/>
        <w:kinsoku/>
        <w:wordWrap w:val="0"/>
        <w:overflowPunct w:val="0"/>
        <w:topLinePunct/>
        <w:autoSpaceDE/>
        <w:autoSpaceDN/>
        <w:bidi w:val="0"/>
        <w:spacing w:line="560" w:lineRule="exact"/>
        <w:ind w:firstLine="6080" w:firstLineChars="1900"/>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益阳市医疗保障局</w:t>
      </w:r>
    </w:p>
    <w:p>
      <w:pPr>
        <w:pStyle w:val="2"/>
        <w:keepNext w:val="0"/>
        <w:keepLines w:val="0"/>
        <w:pageBreakBefore w:val="0"/>
        <w:widowControl w:val="0"/>
        <w:kinsoku/>
        <w:wordWrap w:val="0"/>
        <w:overflowPunct w:val="0"/>
        <w:topLinePunct/>
        <w:autoSpaceDE/>
        <w:autoSpaceDN/>
        <w:bidi w:val="0"/>
        <w:spacing w:line="560" w:lineRule="exact"/>
        <w:ind w:left="4920" w:leftChars="0" w:firstLine="1139" w:firstLineChars="356"/>
        <w:jc w:val="both"/>
        <w:rPr>
          <w:rFonts w:hint="eastAsia" w:ascii="仿宋" w:hAnsi="仿宋" w:eastAsia="仿宋" w:cs="仿宋"/>
          <w:color w:val="auto"/>
          <w:spacing w:val="0"/>
          <w:sz w:val="32"/>
          <w:szCs w:val="32"/>
        </w:rPr>
      </w:pPr>
      <w:r>
        <w:rPr>
          <w:rFonts w:hint="eastAsia" w:ascii="仿宋" w:hAnsi="仿宋" w:eastAsia="仿宋" w:cs="仿宋"/>
          <w:color w:val="auto"/>
          <w:spacing w:val="0"/>
          <w:sz w:val="32"/>
          <w:szCs w:val="32"/>
        </w:rPr>
        <w:t>2023年</w:t>
      </w:r>
      <w:r>
        <w:rPr>
          <w:rFonts w:hint="eastAsia" w:cs="仿宋"/>
          <w:color w:val="auto"/>
          <w:spacing w:val="0"/>
          <w:sz w:val="32"/>
          <w:szCs w:val="32"/>
          <w:lang w:val="en-US" w:eastAsia="zh-CN"/>
        </w:rPr>
        <w:t>12</w:t>
      </w:r>
      <w:r>
        <w:rPr>
          <w:rFonts w:hint="eastAsia" w:ascii="仿宋" w:hAnsi="仿宋" w:eastAsia="仿宋" w:cs="仿宋"/>
          <w:color w:val="auto"/>
          <w:spacing w:val="0"/>
          <w:sz w:val="32"/>
          <w:szCs w:val="32"/>
        </w:rPr>
        <w:t>月</w:t>
      </w:r>
      <w:r>
        <w:rPr>
          <w:rFonts w:hint="eastAsia" w:cs="仿宋"/>
          <w:color w:val="auto"/>
          <w:spacing w:val="0"/>
          <w:sz w:val="32"/>
          <w:szCs w:val="32"/>
          <w:lang w:val="en-US" w:eastAsia="zh-CN"/>
        </w:rPr>
        <w:t>15</w:t>
      </w:r>
      <w:r>
        <w:rPr>
          <w:rFonts w:hint="eastAsia" w:ascii="仿宋" w:hAnsi="仿宋" w:eastAsia="仿宋" w:cs="仿宋"/>
          <w:color w:val="auto"/>
          <w:spacing w:val="0"/>
          <w:sz w:val="32"/>
          <w:szCs w:val="32"/>
        </w:rPr>
        <w:t>日</w:t>
      </w:r>
    </w:p>
    <w:sectPr>
      <w:footerReference r:id="rId5" w:type="default"/>
      <w:pgSz w:w="11906" w:h="16838"/>
      <w:pgMar w:top="1984" w:right="1587" w:bottom="1814" w:left="1587" w:header="0" w:footer="1102"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简体">
    <w:panose1 w:val="02010601030101010101"/>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DBC769"/>
    <w:multiLevelType w:val="singleLevel"/>
    <w:tmpl w:val="D1DBC769"/>
    <w:lvl w:ilvl="0" w:tentative="0">
      <w:start w:val="1"/>
      <w:numFmt w:val="chineseCounting"/>
      <w:suff w:val="nothing"/>
      <w:lvlText w:val="（%1）"/>
      <w:lvlJc w:val="left"/>
      <w:rPr>
        <w:rFonts w:hint="eastAsia" w:ascii="楷体" w:hAnsi="楷体" w:eastAsia="楷体" w:cs="楷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TQ0MjA0MWFjMGRiYTJkZGJlNDdlYmNhNzkyMTllN2EifQ=="/>
  </w:docVars>
  <w:rsids>
    <w:rsidRoot w:val="00000000"/>
    <w:rsid w:val="02B80216"/>
    <w:rsid w:val="02FE3840"/>
    <w:rsid w:val="032E51C3"/>
    <w:rsid w:val="04B62533"/>
    <w:rsid w:val="058F1702"/>
    <w:rsid w:val="06620BC5"/>
    <w:rsid w:val="083E11BD"/>
    <w:rsid w:val="0E603C3C"/>
    <w:rsid w:val="14D62EA9"/>
    <w:rsid w:val="162B4B2F"/>
    <w:rsid w:val="16A668AC"/>
    <w:rsid w:val="1C76287C"/>
    <w:rsid w:val="1E9C59B4"/>
    <w:rsid w:val="1F140A8B"/>
    <w:rsid w:val="20267B36"/>
    <w:rsid w:val="239C52BE"/>
    <w:rsid w:val="24857B00"/>
    <w:rsid w:val="259E0D12"/>
    <w:rsid w:val="28732366"/>
    <w:rsid w:val="2973261D"/>
    <w:rsid w:val="33260700"/>
    <w:rsid w:val="357F059C"/>
    <w:rsid w:val="36C12635"/>
    <w:rsid w:val="3A5B3385"/>
    <w:rsid w:val="3E693B97"/>
    <w:rsid w:val="3FC03C8B"/>
    <w:rsid w:val="44A1408B"/>
    <w:rsid w:val="4A0330F2"/>
    <w:rsid w:val="50546EE9"/>
    <w:rsid w:val="543F11CA"/>
    <w:rsid w:val="549403B5"/>
    <w:rsid w:val="556C2493"/>
    <w:rsid w:val="559D264C"/>
    <w:rsid w:val="55F34962"/>
    <w:rsid w:val="57FD73D2"/>
    <w:rsid w:val="5FD01870"/>
    <w:rsid w:val="628A3F58"/>
    <w:rsid w:val="65DB55A9"/>
    <w:rsid w:val="6632293D"/>
    <w:rsid w:val="6B101D5F"/>
    <w:rsid w:val="6C991968"/>
    <w:rsid w:val="6D8C29C6"/>
    <w:rsid w:val="6E6E0BD2"/>
    <w:rsid w:val="72BD5C84"/>
    <w:rsid w:val="738549F4"/>
    <w:rsid w:val="73FA4A43"/>
    <w:rsid w:val="7431692A"/>
    <w:rsid w:val="783D78B2"/>
    <w:rsid w:val="795D3D1D"/>
    <w:rsid w:val="7A0722E9"/>
    <w:rsid w:val="7B256ABC"/>
    <w:rsid w:val="7D24527D"/>
    <w:rsid w:val="7EF962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Emphasis"/>
    <w:basedOn w:val="6"/>
    <w:qFormat/>
    <w:uiPriority w:val="0"/>
    <w:rPr>
      <w:i/>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Default"/>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15</TotalTime>
  <ScaleCrop>false</ScaleCrop>
  <LinksUpToDate>false</LinksUpToDate>
  <Application>WPS Office_12.1.0.15990_F1E327BC-269C-435d-A152-05C5408002CA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2023-12-18T09:58:00Z</dcterms:created>
  <dc:creator>Kingsoft-PDF</dc:creator>
  <cp:lastModifiedBy>英才春夏</cp:lastModifiedBy>
  <cp:lastPrinted>2023-12-19T02:18:00Z</cp:lastPrinted>
  <dcterms:modified xsi:type="dcterms:W3CDTF">2023-12-19T08:23:38Z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2023-12-18T09:58:28Z</vt:filetime>
  </property>
  <property fmtid="{D5CDD505-2E9C-101B-9397-08002B2CF9AE}" pid="4" name="UsrData">
    <vt:lpwstr>657fa74072a3fa001fcf6e0fwl</vt:lpwstr>
  </property>
  <property fmtid="{D5CDD505-2E9C-101B-9397-08002B2CF9AE}" pid="5" name="KSOProductBuildVer">
    <vt:lpwstr>2052-12.1.0.15990</vt:lpwstr>
  </property>
  <property fmtid="{D5CDD505-2E9C-101B-9397-08002B2CF9AE}" pid="6" name="ICV">
    <vt:lpwstr>C8CD848005AD42CB829B37AEB41DF5A9_13</vt:lpwstr>
  </property>
</Properties>
</file>