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tabs>
          <w:tab w:val="left" w:pos="1192"/>
        </w:tabs>
        <w:spacing w:line="580" w:lineRule="exact"/>
        <w:ind w:firstLine="0"/>
        <w:jc w:val="both"/>
        <w:rPr>
          <w:rFonts w:ascii="黑体" w:hAnsi="黑体" w:eastAsia="黑体" w:cs="黑体"/>
          <w:color w:val="000000"/>
          <w:sz w:val="32"/>
          <w:szCs w:val="32"/>
          <w:lang w:val="en-US" w:eastAsia="zh-CN"/>
        </w:rPr>
      </w:pPr>
    </w:p>
    <w:p>
      <w:pPr>
        <w:pStyle w:val="16"/>
        <w:tabs>
          <w:tab w:val="left" w:pos="1192"/>
        </w:tabs>
        <w:spacing w:line="580" w:lineRule="exact"/>
        <w:jc w:val="center"/>
        <w:rPr>
          <w:rFonts w:hint="eastAsia" w:ascii="方正小标宋简体" w:hAnsi="方正小标宋简体" w:eastAsia="方正小标宋简体" w:cs="方正小标宋简体"/>
          <w:color w:val="000000"/>
          <w:sz w:val="44"/>
          <w:szCs w:val="44"/>
          <w:lang w:val="en-US" w:eastAsia="zh-CN"/>
        </w:rPr>
      </w:pPr>
      <w:r>
        <w:rPr>
          <w:rFonts w:hint="eastAsia" w:ascii="方正小标宋简体" w:hAnsi="方正小标宋简体" w:eastAsia="方正小标宋简体" w:cs="方正小标宋简体"/>
          <w:color w:val="000000"/>
          <w:sz w:val="44"/>
          <w:szCs w:val="44"/>
          <w:lang w:val="en-US" w:eastAsia="zh-CN"/>
        </w:rPr>
        <w:t>益阳市城乡居民基本医疗保险普通门诊</w:t>
      </w:r>
    </w:p>
    <w:p>
      <w:pPr>
        <w:pStyle w:val="16"/>
        <w:tabs>
          <w:tab w:val="left" w:pos="1192"/>
        </w:tabs>
        <w:spacing w:line="580" w:lineRule="exact"/>
        <w:jc w:val="center"/>
        <w:rPr>
          <w:rFonts w:hint="eastAsia" w:ascii="方正小标宋简体" w:hAnsi="方正小标宋简体" w:eastAsia="方正小标宋简体" w:cs="方正小标宋简体"/>
          <w:color w:val="000000"/>
          <w:sz w:val="44"/>
          <w:szCs w:val="44"/>
          <w:lang w:val="en-US" w:eastAsia="zh-CN"/>
        </w:rPr>
      </w:pPr>
      <w:r>
        <w:rPr>
          <w:rFonts w:hint="eastAsia" w:ascii="方正小标宋简体" w:hAnsi="方正小标宋简体" w:eastAsia="方正小标宋简体" w:cs="方正小标宋简体"/>
          <w:color w:val="000000"/>
          <w:sz w:val="44"/>
          <w:szCs w:val="44"/>
          <w:lang w:val="en-US" w:eastAsia="zh-CN"/>
        </w:rPr>
        <w:t>统筹基金总额控制管理办法（试行）</w:t>
      </w:r>
    </w:p>
    <w:p>
      <w:pPr>
        <w:pStyle w:val="16"/>
        <w:tabs>
          <w:tab w:val="left" w:pos="1192"/>
        </w:tabs>
        <w:spacing w:line="580" w:lineRule="exact"/>
        <w:ind w:left="0" w:leftChars="0" w:firstLine="0" w:firstLineChars="0"/>
        <w:jc w:val="center"/>
        <w:rPr>
          <w:rFonts w:hint="eastAsia" w:ascii="楷体" w:hAnsi="楷体" w:eastAsia="楷体" w:cs="楷体"/>
          <w:color w:val="000000"/>
          <w:sz w:val="32"/>
          <w:szCs w:val="32"/>
          <w:lang w:val="en-US" w:eastAsia="zh-CN"/>
        </w:rPr>
      </w:pPr>
      <w:r>
        <w:rPr>
          <w:rFonts w:hint="eastAsia" w:ascii="楷体" w:hAnsi="楷体" w:eastAsia="楷体" w:cs="楷体"/>
          <w:color w:val="000000"/>
          <w:sz w:val="32"/>
          <w:szCs w:val="32"/>
          <w:lang w:val="en-US" w:eastAsia="zh-CN"/>
        </w:rPr>
        <w:t>（征求意见稿）</w:t>
      </w:r>
    </w:p>
    <w:p>
      <w:pPr>
        <w:pStyle w:val="16"/>
        <w:tabs>
          <w:tab w:val="left" w:pos="1192"/>
        </w:tabs>
        <w:spacing w:line="580" w:lineRule="exact"/>
        <w:ind w:firstLine="640" w:firstLineChars="200"/>
        <w:jc w:val="both"/>
        <w:rPr>
          <w:rFonts w:hint="eastAsia" w:ascii="仿宋" w:hAnsi="仿宋" w:eastAsia="仿宋" w:cs="黑体"/>
          <w:color w:val="000000"/>
          <w:sz w:val="32"/>
          <w:szCs w:val="32"/>
          <w:lang w:val="en-US" w:eastAsia="zh-CN"/>
        </w:rPr>
      </w:pPr>
      <w:r>
        <w:rPr>
          <w:rFonts w:hint="eastAsia" w:ascii="仿宋" w:hAnsi="仿宋" w:eastAsia="仿宋" w:cs="黑体"/>
          <w:color w:val="000000"/>
          <w:sz w:val="32"/>
          <w:szCs w:val="32"/>
          <w:lang w:val="en-US" w:eastAsia="zh-CN"/>
        </w:rPr>
        <w:t>为进一步完善我市城乡居民基本医疗保险普通门诊统筹制度，落实“保基本、强基层、建机制”要求，发挥医疗保险在医改中的基础性作用，引导城乡居民合理利用卫生资源，逐步提高城乡居民普通门诊医疗待遇保障水平，切实减轻城乡居民普通门诊医疗费用负担。根据《关于进一步完善城乡居民基本医疗保险门诊医疗保障政策的通知》（湘医保发〔2019〕20号）、《关于做好城乡居民高血压糖尿病门诊用药保障工作的实施意见》（湘医保发〔2019〕34号）和《湖南省城乡居民基本医疗保险实施办法》（湘政办发〔2022〕67号）等文件精神，结合我市实际，制定本办法：</w:t>
      </w:r>
    </w:p>
    <w:p>
      <w:pPr>
        <w:pStyle w:val="16"/>
        <w:tabs>
          <w:tab w:val="left" w:pos="1192"/>
        </w:tabs>
        <w:spacing w:line="580" w:lineRule="exact"/>
        <w:ind w:firstLine="640" w:firstLineChars="200"/>
        <w:jc w:val="both"/>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一、指导思想</w:t>
      </w:r>
    </w:p>
    <w:p>
      <w:pPr>
        <w:pStyle w:val="16"/>
        <w:tabs>
          <w:tab w:val="left" w:pos="1192"/>
        </w:tabs>
        <w:spacing w:line="580" w:lineRule="exact"/>
        <w:ind w:firstLine="640" w:firstLineChars="200"/>
        <w:jc w:val="both"/>
        <w:rPr>
          <w:rFonts w:hint="eastAsia" w:ascii="仿宋" w:hAnsi="仿宋" w:eastAsia="仿宋" w:cs="黑体"/>
          <w:color w:val="000000"/>
          <w:sz w:val="32"/>
          <w:szCs w:val="32"/>
          <w:lang w:val="en-US" w:eastAsia="zh-CN"/>
        </w:rPr>
      </w:pPr>
      <w:r>
        <w:rPr>
          <w:rFonts w:hint="eastAsia" w:ascii="仿宋" w:hAnsi="仿宋" w:eastAsia="仿宋" w:cs="黑体"/>
          <w:color w:val="000000"/>
          <w:sz w:val="32"/>
          <w:szCs w:val="32"/>
          <w:lang w:val="en-US" w:eastAsia="zh-CN"/>
        </w:rPr>
        <w:t>以习近平新时代中国特色社会主义思想为指导，坚持以人民为中心的发展理念，加快推进乡、村卫生服务一体化管理，切实解决参保群众在家门口看病报销问题，不断提升群众的获得感、幸福感、安全感。</w:t>
      </w:r>
    </w:p>
    <w:p>
      <w:pPr>
        <w:pStyle w:val="16"/>
        <w:tabs>
          <w:tab w:val="left" w:pos="1192"/>
        </w:tabs>
        <w:spacing w:line="580" w:lineRule="exact"/>
        <w:ind w:firstLine="640" w:firstLineChars="200"/>
        <w:jc w:val="both"/>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二、管理原则</w:t>
      </w:r>
    </w:p>
    <w:p>
      <w:pPr>
        <w:pStyle w:val="16"/>
        <w:tabs>
          <w:tab w:val="left" w:pos="1192"/>
        </w:tabs>
        <w:spacing w:line="580" w:lineRule="exact"/>
        <w:ind w:firstLine="640" w:firstLineChars="200"/>
        <w:jc w:val="both"/>
        <w:rPr>
          <w:rFonts w:hint="eastAsia" w:ascii="仿宋" w:hAnsi="仿宋" w:eastAsia="仿宋" w:cs="黑体"/>
          <w:color w:val="000000"/>
          <w:sz w:val="32"/>
          <w:szCs w:val="32"/>
          <w:lang w:val="en-US" w:eastAsia="zh-CN"/>
        </w:rPr>
      </w:pPr>
      <w:r>
        <w:rPr>
          <w:rFonts w:hint="eastAsia" w:ascii="仿宋" w:hAnsi="仿宋" w:eastAsia="仿宋" w:cs="黑体"/>
          <w:color w:val="000000"/>
          <w:sz w:val="32"/>
          <w:szCs w:val="32"/>
          <w:lang w:val="en-US" w:eastAsia="zh-CN"/>
        </w:rPr>
        <w:t>按照“控制总额标准、人头包干付费、系统据实结算、合理超支分担、结余适当留用”的原则，在全市范围内开展城乡居民医保普通门诊、“两病”用药保障、家庭医生签约服务（以下简称“普通门诊统筹”）工作，让老百姓在家门口看病就医都能享受医保报销待遇。</w:t>
      </w:r>
    </w:p>
    <w:p>
      <w:pPr>
        <w:pStyle w:val="16"/>
        <w:tabs>
          <w:tab w:val="left" w:pos="1192"/>
        </w:tabs>
        <w:spacing w:line="580" w:lineRule="exact"/>
        <w:ind w:firstLine="640" w:firstLineChars="200"/>
        <w:jc w:val="both"/>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三、管理模式</w:t>
      </w:r>
    </w:p>
    <w:p>
      <w:pPr>
        <w:pStyle w:val="16"/>
        <w:tabs>
          <w:tab w:val="left" w:pos="1192"/>
        </w:tabs>
        <w:spacing w:line="580" w:lineRule="exact"/>
        <w:ind w:firstLine="640" w:firstLineChars="200"/>
        <w:jc w:val="both"/>
        <w:rPr>
          <w:rFonts w:hint="eastAsia" w:ascii="仿宋" w:hAnsi="仿宋" w:eastAsia="仿宋" w:cs="黑体"/>
          <w:color w:val="000000"/>
          <w:sz w:val="32"/>
          <w:szCs w:val="32"/>
          <w:lang w:val="en-US" w:eastAsia="zh-CN"/>
        </w:rPr>
      </w:pPr>
      <w:r>
        <w:rPr>
          <w:rFonts w:hint="eastAsia" w:ascii="仿宋" w:hAnsi="仿宋" w:eastAsia="仿宋" w:cs="黑体"/>
          <w:color w:val="000000"/>
          <w:sz w:val="32"/>
          <w:szCs w:val="32"/>
          <w:lang w:val="en-US" w:eastAsia="zh-CN"/>
        </w:rPr>
        <w:t>城乡居民普通门诊统筹实行两级定点协议管理，即县市区医保经办机构与乡镇卫生院签订管理协议并将区域内包干付费给乡镇卫生院（社区卫生服务中心）统筹使用，乡镇卫生院（街道社区卫生服务中心）与辖区村级卫生室（社区卫生服务站）签医保服务协议，村卫生室的门诊统筹总额控费由乡镇卫生院分配。</w:t>
      </w:r>
    </w:p>
    <w:p>
      <w:pPr>
        <w:pStyle w:val="16"/>
        <w:tabs>
          <w:tab w:val="left" w:pos="1192"/>
        </w:tabs>
        <w:spacing w:line="580" w:lineRule="exact"/>
        <w:ind w:firstLine="640" w:firstLineChars="200"/>
        <w:jc w:val="both"/>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四、总额控制标准</w:t>
      </w:r>
    </w:p>
    <w:p>
      <w:pPr>
        <w:pStyle w:val="16"/>
        <w:tabs>
          <w:tab w:val="left" w:pos="1192"/>
        </w:tabs>
        <w:spacing w:line="580" w:lineRule="exact"/>
        <w:ind w:firstLine="640" w:firstLineChars="200"/>
        <w:jc w:val="both"/>
        <w:rPr>
          <w:rFonts w:hint="eastAsia" w:ascii="仿宋" w:hAnsi="仿宋" w:eastAsia="仿宋" w:cs="黑体"/>
          <w:color w:val="000000"/>
          <w:sz w:val="32"/>
          <w:szCs w:val="32"/>
          <w:lang w:val="en-US" w:eastAsia="zh-CN"/>
        </w:rPr>
      </w:pPr>
      <w:r>
        <w:rPr>
          <w:rFonts w:hint="eastAsia" w:ascii="仿宋" w:hAnsi="仿宋" w:eastAsia="仿宋" w:cs="黑体"/>
          <w:color w:val="000000"/>
          <w:sz w:val="32"/>
          <w:szCs w:val="32"/>
          <w:lang w:val="en-US" w:eastAsia="zh-CN"/>
        </w:rPr>
        <w:t>一个结算年度内，城乡居民普通门诊统筹资金以50元/人的标准，按照各乡镇（街道）实际参保人数的90%总额控制使用，余下10%作为普通门诊统筹预留金。</w:t>
      </w:r>
    </w:p>
    <w:p>
      <w:pPr>
        <w:pStyle w:val="16"/>
        <w:tabs>
          <w:tab w:val="left" w:pos="1192"/>
        </w:tabs>
        <w:spacing w:line="580" w:lineRule="exact"/>
        <w:ind w:firstLine="640" w:firstLineChars="200"/>
        <w:jc w:val="both"/>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五、分担留用办法</w:t>
      </w:r>
    </w:p>
    <w:p>
      <w:pPr>
        <w:pStyle w:val="16"/>
        <w:tabs>
          <w:tab w:val="left" w:pos="1192"/>
        </w:tabs>
        <w:spacing w:line="580" w:lineRule="exact"/>
        <w:ind w:firstLine="640" w:firstLineChars="200"/>
        <w:jc w:val="both"/>
        <w:rPr>
          <w:rFonts w:hint="eastAsia" w:ascii="仿宋" w:hAnsi="仿宋" w:eastAsia="仿宋" w:cs="黑体"/>
          <w:color w:val="000000"/>
          <w:sz w:val="32"/>
          <w:szCs w:val="32"/>
          <w:lang w:val="en-US" w:eastAsia="zh-CN"/>
        </w:rPr>
      </w:pPr>
      <w:r>
        <w:rPr>
          <w:rFonts w:hint="eastAsia" w:ascii="仿宋" w:hAnsi="仿宋" w:eastAsia="仿宋" w:cs="黑体"/>
          <w:color w:val="000000"/>
          <w:sz w:val="32"/>
          <w:szCs w:val="32"/>
          <w:lang w:val="en-US" w:eastAsia="zh-CN"/>
        </w:rPr>
        <w:t>定点乡镇卫生院（社区卫生服务中心）普通门诊统筹费用超出总额控制费用的，由普通门诊统筹预留金给予弥补，不足部分由定点乡镇卫生院（社区卫生服务中心）自行承担；总额控制费用的使用率低于50%（含50%），结余部分全部返还城乡居民医保基金；总额控制费用使用率50%-80%的，结余部分的60%给定点乡镇卫生院（社区卫生服务中心）留用；使用率80%以上的，结余部分的70%给定点乡镇卫生院（社区卫生服务中心）留用。</w:t>
      </w:r>
      <w:bookmarkStart w:id="1" w:name="_GoBack"/>
      <w:bookmarkEnd w:id="1"/>
    </w:p>
    <w:p>
      <w:pPr>
        <w:pStyle w:val="16"/>
        <w:tabs>
          <w:tab w:val="left" w:pos="1192"/>
        </w:tabs>
        <w:spacing w:line="580" w:lineRule="exact"/>
        <w:ind w:firstLine="640" w:firstLineChars="200"/>
        <w:jc w:val="both"/>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六、基金监管</w:t>
      </w:r>
    </w:p>
    <w:p>
      <w:pPr>
        <w:pStyle w:val="16"/>
        <w:tabs>
          <w:tab w:val="left" w:pos="1192"/>
        </w:tabs>
        <w:spacing w:line="580" w:lineRule="exact"/>
        <w:ind w:firstLine="640" w:firstLineChars="200"/>
        <w:jc w:val="both"/>
        <w:rPr>
          <w:rFonts w:hint="eastAsia" w:ascii="仿宋" w:hAnsi="仿宋" w:eastAsia="仿宋" w:cs="黑体"/>
          <w:color w:val="000000"/>
          <w:sz w:val="32"/>
          <w:szCs w:val="32"/>
          <w:lang w:val="en-US" w:eastAsia="zh-CN"/>
        </w:rPr>
      </w:pPr>
      <w:r>
        <w:rPr>
          <w:rFonts w:hint="eastAsia" w:ascii="仿宋" w:hAnsi="仿宋" w:eastAsia="仿宋" w:cs="黑体"/>
          <w:color w:val="000000"/>
          <w:sz w:val="32"/>
          <w:szCs w:val="32"/>
          <w:lang w:val="en-US" w:eastAsia="zh-CN"/>
        </w:rPr>
        <w:t>1、完善医保信息系统，细化协议内容，加强对定点乡镇卫生院（社区卫生服务中心）协议管理和医疗服务日常监管，确保基金合理使用。</w:t>
      </w:r>
    </w:p>
    <w:p>
      <w:pPr>
        <w:pStyle w:val="16"/>
        <w:tabs>
          <w:tab w:val="left" w:pos="1192"/>
        </w:tabs>
        <w:spacing w:line="580" w:lineRule="exact"/>
        <w:ind w:firstLine="640" w:firstLineChars="200"/>
        <w:jc w:val="both"/>
        <w:rPr>
          <w:rFonts w:hint="eastAsia" w:ascii="仿宋" w:hAnsi="仿宋" w:eastAsia="仿宋" w:cs="黑体"/>
          <w:color w:val="000000"/>
          <w:sz w:val="32"/>
          <w:szCs w:val="32"/>
          <w:lang w:val="en-US" w:eastAsia="zh-CN"/>
        </w:rPr>
      </w:pPr>
      <w:r>
        <w:rPr>
          <w:rFonts w:hint="eastAsia" w:ascii="仿宋" w:hAnsi="仿宋" w:eastAsia="仿宋" w:cs="黑体"/>
          <w:color w:val="000000"/>
          <w:sz w:val="32"/>
          <w:szCs w:val="32"/>
          <w:lang w:val="en-US" w:eastAsia="zh-CN"/>
        </w:rPr>
        <w:t>2、加大监督检查力度，依法依规严厉查处定点乡镇卫生院（社区卫生服务中心）及其医务人员违反政策规定，弄虚作假、伪造医疗文书骗取、套取医保基金的行为；</w:t>
      </w:r>
    </w:p>
    <w:p>
      <w:pPr>
        <w:pStyle w:val="16"/>
        <w:tabs>
          <w:tab w:val="left" w:pos="1192"/>
        </w:tabs>
        <w:spacing w:line="580" w:lineRule="exact"/>
        <w:ind w:firstLine="640" w:firstLineChars="200"/>
        <w:jc w:val="both"/>
        <w:rPr>
          <w:rFonts w:hint="eastAsia" w:ascii="仿宋" w:hAnsi="仿宋" w:eastAsia="仿宋" w:cs="黑体"/>
          <w:color w:val="000000"/>
          <w:sz w:val="32"/>
          <w:szCs w:val="32"/>
          <w:lang w:val="en-US" w:eastAsia="zh-CN"/>
        </w:rPr>
      </w:pPr>
      <w:r>
        <w:rPr>
          <w:rFonts w:hint="eastAsia" w:ascii="仿宋" w:hAnsi="仿宋" w:eastAsia="仿宋" w:cs="黑体"/>
          <w:color w:val="000000"/>
          <w:sz w:val="32"/>
          <w:szCs w:val="32"/>
          <w:lang w:val="en-US" w:eastAsia="zh-CN"/>
        </w:rPr>
        <w:t>3、依托医保智能终端、村医结算系统、终端管理平台等维度全方位数字化监管手段。</w:t>
      </w:r>
    </w:p>
    <w:p>
      <w:pPr>
        <w:pStyle w:val="16"/>
        <w:tabs>
          <w:tab w:val="left" w:pos="1192"/>
        </w:tabs>
        <w:spacing w:line="580" w:lineRule="exact"/>
        <w:ind w:firstLine="640" w:firstLineChars="200"/>
        <w:jc w:val="both"/>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七、省市属高校医务室可参照本办法执行。</w:t>
      </w:r>
    </w:p>
    <w:p>
      <w:pPr>
        <w:pStyle w:val="16"/>
        <w:tabs>
          <w:tab w:val="left" w:pos="1192"/>
        </w:tabs>
        <w:spacing w:line="580" w:lineRule="exact"/>
        <w:ind w:firstLine="640" w:firstLineChars="200"/>
        <w:jc w:val="both"/>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八、</w:t>
      </w:r>
      <w:bookmarkStart w:id="0" w:name="_Hlk142415847"/>
      <w:r>
        <w:rPr>
          <w:rFonts w:hint="eastAsia" w:ascii="黑体" w:hAnsi="黑体" w:eastAsia="黑体" w:cs="仿宋_GB2312"/>
          <w:color w:val="000000"/>
          <w:sz w:val="32"/>
          <w:szCs w:val="32"/>
          <w:lang w:eastAsia="zh-CN"/>
        </w:rPr>
        <w:t>本办法从2</w:t>
      </w:r>
      <w:r>
        <w:rPr>
          <w:rFonts w:ascii="黑体" w:hAnsi="黑体" w:eastAsia="黑体" w:cs="仿宋_GB2312"/>
          <w:color w:val="000000"/>
          <w:sz w:val="32"/>
          <w:szCs w:val="32"/>
          <w:lang w:eastAsia="zh-CN"/>
        </w:rPr>
        <w:t>023</w:t>
      </w:r>
      <w:r>
        <w:rPr>
          <w:rFonts w:hint="eastAsia" w:ascii="黑体" w:hAnsi="黑体" w:eastAsia="黑体" w:cs="仿宋_GB2312"/>
          <w:color w:val="000000"/>
          <w:sz w:val="32"/>
          <w:szCs w:val="32"/>
          <w:lang w:eastAsia="zh-CN"/>
        </w:rPr>
        <w:t>年起试行，暂试行一年，试行期满后根据试行情况再予以完善实施。各县市区在执行过程中如发现有重大问题需及时报告。</w:t>
      </w:r>
      <w:bookmarkEnd w:id="0"/>
      <w:r>
        <w:rPr>
          <w:rFonts w:hint="eastAsia" w:ascii="黑体" w:hAnsi="黑体" w:eastAsia="黑体" w:cs="黑体"/>
          <w:color w:val="000000"/>
          <w:sz w:val="32"/>
          <w:szCs w:val="32"/>
          <w:lang w:val="en-US" w:eastAsia="zh-CN"/>
        </w:rPr>
        <w:t>若国家、省级相关政策调整，按国家、省有关规定执行。</w:t>
      </w:r>
    </w:p>
    <w:p>
      <w:pPr>
        <w:pStyle w:val="16"/>
        <w:tabs>
          <w:tab w:val="left" w:pos="1192"/>
        </w:tabs>
        <w:spacing w:line="580" w:lineRule="exact"/>
        <w:jc w:val="both"/>
        <w:rPr>
          <w:rFonts w:ascii="黑体" w:hAnsi="黑体" w:eastAsia="黑体" w:cs="黑体"/>
          <w:color w:val="000000"/>
          <w:sz w:val="32"/>
          <w:szCs w:val="32"/>
          <w:lang w:val="en-US" w:eastAsia="zh-CN"/>
        </w:rPr>
      </w:pPr>
    </w:p>
    <w:p>
      <w:pPr>
        <w:pStyle w:val="16"/>
        <w:tabs>
          <w:tab w:val="left" w:pos="1192"/>
        </w:tabs>
        <w:spacing w:line="580" w:lineRule="exact"/>
        <w:jc w:val="both"/>
        <w:rPr>
          <w:rFonts w:ascii="黑体" w:hAnsi="黑体" w:eastAsia="黑体" w:cs="黑体"/>
          <w:color w:val="000000"/>
          <w:sz w:val="32"/>
          <w:szCs w:val="32"/>
          <w:lang w:val="en-US" w:eastAsia="zh-CN"/>
        </w:rPr>
      </w:pPr>
    </w:p>
    <w:p>
      <w:pPr>
        <w:pStyle w:val="16"/>
        <w:tabs>
          <w:tab w:val="left" w:pos="1192"/>
        </w:tabs>
        <w:spacing w:line="580" w:lineRule="exact"/>
        <w:ind w:firstLine="0"/>
        <w:jc w:val="both"/>
        <w:rPr>
          <w:rFonts w:hint="eastAsia" w:ascii="黑体" w:hAnsi="黑体" w:eastAsia="黑体" w:cs="黑体"/>
          <w:color w:val="000000"/>
          <w:sz w:val="32"/>
          <w:szCs w:val="32"/>
          <w:lang w:val="en-US" w:eastAsia="zh-CN"/>
        </w:rPr>
      </w:pPr>
    </w:p>
    <w:sectPr>
      <w:headerReference r:id="rId4" w:type="default"/>
      <w:footerReference r:id="rId5" w:type="default"/>
      <w:footerReference r:id="rId6" w:type="even"/>
      <w:pgSz w:w="11906" w:h="16838"/>
      <w:pgMar w:top="1984" w:right="1587" w:bottom="1814"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64E6F75-3EB3-47C4-9B2E-1DA8C7CEA0E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小标宋简体">
    <w:panose1 w:val="02000000000000000000"/>
    <w:charset w:val="86"/>
    <w:family w:val="script"/>
    <w:pitch w:val="default"/>
    <w:sig w:usb0="00000001" w:usb1="08000000" w:usb2="00000000" w:usb3="00000000" w:csb0="00040000" w:csb1="00000000"/>
    <w:embedRegular r:id="rId2" w:fontKey="{47280251-18D2-44AD-A479-6AA5240DD6F0}"/>
  </w:font>
  <w:font w:name="楷体">
    <w:panose1 w:val="02010609060101010101"/>
    <w:charset w:val="86"/>
    <w:family w:val="modern"/>
    <w:pitch w:val="default"/>
    <w:sig w:usb0="800002BF" w:usb1="38CF7CFA" w:usb2="00000016" w:usb3="00000000" w:csb0="00040001" w:csb1="00000000"/>
    <w:embedRegular r:id="rId3" w:fontKey="{05E2AEB0-52FC-427C-A7B4-F0DD36BF85CD}"/>
  </w:font>
  <w:font w:name="仿宋">
    <w:panose1 w:val="02010609060101010101"/>
    <w:charset w:val="86"/>
    <w:family w:val="modern"/>
    <w:pitch w:val="default"/>
    <w:sig w:usb0="800002BF" w:usb1="38CF7CFA" w:usb2="00000016" w:usb3="00000000" w:csb0="00040001" w:csb1="00000000"/>
    <w:embedRegular r:id="rId4" w:fontKey="{FE72017E-D01A-4AA4-BADA-23C5193D0693}"/>
  </w:font>
  <w:font w:name="仿宋_GB2312">
    <w:panose1 w:val="02010609030101010101"/>
    <w:charset w:val="86"/>
    <w:family w:val="auto"/>
    <w:pitch w:val="default"/>
    <w:sig w:usb0="00000001" w:usb1="080E0000" w:usb2="00000000" w:usb3="00000000" w:csb0="00040000" w:csb1="00000000"/>
    <w:embedRegular r:id="rId5" w:fontKey="{BA552540-2E9F-42BE-B0BE-014CDC40E87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仿宋" w:hAnsi="仿宋" w:eastAsia="仿宋"/>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445135" cy="357505"/>
              <wp:effectExtent l="0" t="0" r="0" b="0"/>
              <wp:wrapNone/>
              <wp:docPr id="1924894134" name="文本框 2"/>
              <wp:cNvGraphicFramePr/>
              <a:graphic xmlns:a="http://schemas.openxmlformats.org/drawingml/2006/main">
                <a:graphicData uri="http://schemas.microsoft.com/office/word/2010/wordprocessingShape">
                  <wps:wsp>
                    <wps:cNvSpPr txBox="1">
                      <a:spLocks noChangeArrowheads="1"/>
                    </wps:cNvSpPr>
                    <wps:spPr bwMode="auto">
                      <a:xfrm>
                        <a:off x="0" y="0"/>
                        <a:ext cx="445135" cy="357505"/>
                      </a:xfrm>
                      <a:prstGeom prst="rect">
                        <a:avLst/>
                      </a:prstGeom>
                      <a:noFill/>
                      <a:ln>
                        <a:noFill/>
                      </a:ln>
                    </wps:spPr>
                    <wps:txbx>
                      <w:txbxContent>
                        <w:p>
                          <w:pPr>
                            <w:pStyle w:val="5"/>
                            <w:jc w:val="center"/>
                          </w:pPr>
                          <w:r>
                            <w:rPr>
                              <w:rFonts w:ascii="仿宋" w:hAnsi="仿宋" w:eastAsia="仿宋"/>
                              <w:sz w:val="28"/>
                              <w:szCs w:val="28"/>
                            </w:rPr>
                            <w:fldChar w:fldCharType="begin"/>
                          </w:r>
                          <w:r>
                            <w:rPr>
                              <w:rFonts w:ascii="仿宋" w:hAnsi="仿宋" w:eastAsia="仿宋"/>
                              <w:sz w:val="28"/>
                              <w:szCs w:val="28"/>
                            </w:rPr>
                            <w:instrText xml:space="preserve"> PAGE   \* MERGEFORMAT </w:instrText>
                          </w:r>
                          <w:r>
                            <w:rPr>
                              <w:rFonts w:ascii="仿宋" w:hAnsi="仿宋" w:eastAsia="仿宋"/>
                              <w:sz w:val="28"/>
                              <w:szCs w:val="28"/>
                            </w:rPr>
                            <w:fldChar w:fldCharType="separate"/>
                          </w:r>
                          <w:r>
                            <w:rPr>
                              <w:rFonts w:ascii="仿宋" w:hAnsi="仿宋" w:eastAsia="仿宋"/>
                              <w:sz w:val="28"/>
                              <w:szCs w:val="28"/>
                              <w:lang w:val="zh-CN"/>
                            </w:rPr>
                            <w:t>-</w:t>
                          </w:r>
                          <w:r>
                            <w:rPr>
                              <w:rFonts w:ascii="仿宋" w:hAnsi="仿宋" w:eastAsia="仿宋"/>
                              <w:sz w:val="28"/>
                              <w:szCs w:val="28"/>
                            </w:rPr>
                            <w:t xml:space="preserve"> 1 -</w:t>
                          </w:r>
                          <w:r>
                            <w:rPr>
                              <w:rFonts w:ascii="仿宋" w:hAnsi="仿宋" w:eastAsia="仿宋"/>
                              <w:sz w:val="28"/>
                              <w:szCs w:val="28"/>
                            </w:rPr>
                            <w:fldChar w:fldCharType="end"/>
                          </w:r>
                        </w:p>
                      </w:txbxContent>
                    </wps:txbx>
                    <wps:bodyPr rot="0" vert="horz" wrap="none" lIns="0" tIns="0" rIns="0" bIns="0" anchor="t" anchorCtr="0" upright="1">
                      <a:spAutoFit/>
                    </wps:bodyPr>
                  </wps:wsp>
                </a:graphicData>
              </a:graphic>
            </wp:anchor>
          </w:drawing>
        </mc:Choice>
        <mc:Fallback>
          <w:pict>
            <v:shape id="文本框 2" o:spid="_x0000_s1026" o:spt="202" type="#_x0000_t202" style="position:absolute;left:0pt;margin-top:0pt;height:28.15pt;width:35.05pt;mso-position-horizontal:outside;mso-position-horizontal-relative:margin;mso-wrap-style:none;z-index:251659264;mso-width-relative:page;mso-height-relative:page;" filled="f" stroked="f" coordsize="21600,21600" o:gfxdata="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dyxzR0QAAAAMBAAAPAAAAAAAAAAEAIAAA&#10;ACIAAABkcnMvZG93bnJldi54bWxQSwECFAAUAAAACACHTuJAvHD21BMCAAALBAAADgAAAAAAAAAB&#10;ACAAAAAgAQAAZHJzL2Uyb0RvYy54bWxQSwUGAAAAAAYABgBZAQAApQUAAAAA&#10;">
              <v:fill on="f" focussize="0,0"/>
              <v:stroke on="f"/>
              <v:imagedata o:title=""/>
              <o:lock v:ext="edit" aspectratio="f"/>
              <v:textbox inset="0mm,0mm,0mm,0mm" style="mso-fit-shape-to-text:t;">
                <w:txbxContent>
                  <w:p>
                    <w:pPr>
                      <w:pStyle w:val="5"/>
                      <w:jc w:val="center"/>
                    </w:pPr>
                    <w:r>
                      <w:rPr>
                        <w:rFonts w:ascii="仿宋" w:hAnsi="仿宋" w:eastAsia="仿宋"/>
                        <w:sz w:val="28"/>
                        <w:szCs w:val="28"/>
                      </w:rPr>
                      <w:fldChar w:fldCharType="begin"/>
                    </w:r>
                    <w:r>
                      <w:rPr>
                        <w:rFonts w:ascii="仿宋" w:hAnsi="仿宋" w:eastAsia="仿宋"/>
                        <w:sz w:val="28"/>
                        <w:szCs w:val="28"/>
                      </w:rPr>
                      <w:instrText xml:space="preserve"> PAGE   \* MERGEFORMAT </w:instrText>
                    </w:r>
                    <w:r>
                      <w:rPr>
                        <w:rFonts w:ascii="仿宋" w:hAnsi="仿宋" w:eastAsia="仿宋"/>
                        <w:sz w:val="28"/>
                        <w:szCs w:val="28"/>
                      </w:rPr>
                      <w:fldChar w:fldCharType="separate"/>
                    </w:r>
                    <w:r>
                      <w:rPr>
                        <w:rFonts w:ascii="仿宋" w:hAnsi="仿宋" w:eastAsia="仿宋"/>
                        <w:sz w:val="28"/>
                        <w:szCs w:val="28"/>
                        <w:lang w:val="zh-CN"/>
                      </w:rPr>
                      <w:t>-</w:t>
                    </w:r>
                    <w:r>
                      <w:rPr>
                        <w:rFonts w:ascii="仿宋" w:hAnsi="仿宋" w:eastAsia="仿宋"/>
                        <w:sz w:val="28"/>
                        <w:szCs w:val="28"/>
                      </w:rPr>
                      <w:t xml:space="preserve"> 1 -</w:t>
                    </w:r>
                    <w:r>
                      <w:rPr>
                        <w:rFonts w:ascii="仿宋" w:hAnsi="仿宋" w:eastAsia="仿宋"/>
                        <w:sz w:val="28"/>
                        <w:szCs w:val="28"/>
                      </w:rPr>
                      <w:fldChar w:fldCharType="end"/>
                    </w:r>
                  </w:p>
                </w:txbxContent>
              </v:textbox>
            </v:shape>
          </w:pict>
        </mc:Fallback>
      </mc:AlternateContent>
    </w:r>
  </w:p>
  <w:p>
    <w:pPr>
      <w:pStyle w:val="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fldChar w:fldCharType="begin"/>
    </w:r>
    <w:r>
      <w:instrText xml:space="preserve"> PAGE   \* MERGEFORMAT </w:instrText>
    </w:r>
    <w:r>
      <w:fldChar w:fldCharType="separate"/>
    </w:r>
    <w:r>
      <w:rPr>
        <w:lang w:val="zh-CN"/>
      </w:rPr>
      <w:t>6</w:t>
    </w:r>
    <w:r>
      <w:fldChar w:fldCharType="end"/>
    </w:r>
  </w:p>
  <w:p>
    <w:pPr>
      <w:pStyle w:val="5"/>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1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YwNTkxODY0YTU4YTExZDA5ZTYyNTg4MzBiZTU0MDgifQ=="/>
  </w:docVars>
  <w:rsids>
    <w:rsidRoot w:val="00964105"/>
    <w:rsid w:val="0000024F"/>
    <w:rsid w:val="00000EE6"/>
    <w:rsid w:val="000018BE"/>
    <w:rsid w:val="0000263D"/>
    <w:rsid w:val="00003AAD"/>
    <w:rsid w:val="0001315F"/>
    <w:rsid w:val="00013CC1"/>
    <w:rsid w:val="00014FBF"/>
    <w:rsid w:val="00016F21"/>
    <w:rsid w:val="00023B82"/>
    <w:rsid w:val="0004159F"/>
    <w:rsid w:val="000430B6"/>
    <w:rsid w:val="00043C13"/>
    <w:rsid w:val="0004615D"/>
    <w:rsid w:val="0005038C"/>
    <w:rsid w:val="00055CDD"/>
    <w:rsid w:val="00057D85"/>
    <w:rsid w:val="00057D88"/>
    <w:rsid w:val="0006020F"/>
    <w:rsid w:val="00060E19"/>
    <w:rsid w:val="000614E8"/>
    <w:rsid w:val="000617C3"/>
    <w:rsid w:val="00074591"/>
    <w:rsid w:val="000757FC"/>
    <w:rsid w:val="0008288C"/>
    <w:rsid w:val="00095D5D"/>
    <w:rsid w:val="000A08BE"/>
    <w:rsid w:val="000A2312"/>
    <w:rsid w:val="000A7E49"/>
    <w:rsid w:val="000B0902"/>
    <w:rsid w:val="000B2169"/>
    <w:rsid w:val="000B49E0"/>
    <w:rsid w:val="000C4297"/>
    <w:rsid w:val="000C6D96"/>
    <w:rsid w:val="000C7DFC"/>
    <w:rsid w:val="000E0773"/>
    <w:rsid w:val="000E2241"/>
    <w:rsid w:val="000F1B46"/>
    <w:rsid w:val="0010049B"/>
    <w:rsid w:val="00100BE1"/>
    <w:rsid w:val="00101450"/>
    <w:rsid w:val="001137F7"/>
    <w:rsid w:val="00116076"/>
    <w:rsid w:val="001315DD"/>
    <w:rsid w:val="0013227E"/>
    <w:rsid w:val="00134EF9"/>
    <w:rsid w:val="0014711A"/>
    <w:rsid w:val="00150A44"/>
    <w:rsid w:val="0016235F"/>
    <w:rsid w:val="001718F0"/>
    <w:rsid w:val="00181302"/>
    <w:rsid w:val="001862AE"/>
    <w:rsid w:val="00191C07"/>
    <w:rsid w:val="00192100"/>
    <w:rsid w:val="001A00F3"/>
    <w:rsid w:val="001A1894"/>
    <w:rsid w:val="001A535A"/>
    <w:rsid w:val="001B4A9D"/>
    <w:rsid w:val="001B54A6"/>
    <w:rsid w:val="001B559B"/>
    <w:rsid w:val="001C0E3A"/>
    <w:rsid w:val="001C33E5"/>
    <w:rsid w:val="001E3F5C"/>
    <w:rsid w:val="001F0504"/>
    <w:rsid w:val="001F4F0E"/>
    <w:rsid w:val="001F5299"/>
    <w:rsid w:val="001F6774"/>
    <w:rsid w:val="001F6FE5"/>
    <w:rsid w:val="00210CA0"/>
    <w:rsid w:val="0021139E"/>
    <w:rsid w:val="002208B3"/>
    <w:rsid w:val="0022459D"/>
    <w:rsid w:val="00226ECA"/>
    <w:rsid w:val="002310D7"/>
    <w:rsid w:val="00244B26"/>
    <w:rsid w:val="00251F30"/>
    <w:rsid w:val="00253B53"/>
    <w:rsid w:val="002552B0"/>
    <w:rsid w:val="002575C2"/>
    <w:rsid w:val="00264B2B"/>
    <w:rsid w:val="0026612F"/>
    <w:rsid w:val="00267B44"/>
    <w:rsid w:val="00267C4B"/>
    <w:rsid w:val="00267FDF"/>
    <w:rsid w:val="00271B4C"/>
    <w:rsid w:val="00272E64"/>
    <w:rsid w:val="00275F79"/>
    <w:rsid w:val="00284911"/>
    <w:rsid w:val="0028512E"/>
    <w:rsid w:val="00286EEE"/>
    <w:rsid w:val="00287EC6"/>
    <w:rsid w:val="00294A4A"/>
    <w:rsid w:val="002A5106"/>
    <w:rsid w:val="002A5D06"/>
    <w:rsid w:val="002B4D99"/>
    <w:rsid w:val="002B51E9"/>
    <w:rsid w:val="002B623E"/>
    <w:rsid w:val="002C067E"/>
    <w:rsid w:val="002C12C8"/>
    <w:rsid w:val="002C536C"/>
    <w:rsid w:val="002D7A27"/>
    <w:rsid w:val="002E11CE"/>
    <w:rsid w:val="002E1D9D"/>
    <w:rsid w:val="002F4C0D"/>
    <w:rsid w:val="00300E84"/>
    <w:rsid w:val="00302FF7"/>
    <w:rsid w:val="00305343"/>
    <w:rsid w:val="00310E38"/>
    <w:rsid w:val="00311420"/>
    <w:rsid w:val="00313952"/>
    <w:rsid w:val="003140A1"/>
    <w:rsid w:val="00316176"/>
    <w:rsid w:val="00321375"/>
    <w:rsid w:val="00323C03"/>
    <w:rsid w:val="00324E70"/>
    <w:rsid w:val="00330855"/>
    <w:rsid w:val="00330F80"/>
    <w:rsid w:val="003314CF"/>
    <w:rsid w:val="003365C3"/>
    <w:rsid w:val="00344B04"/>
    <w:rsid w:val="003471C3"/>
    <w:rsid w:val="00350AF2"/>
    <w:rsid w:val="003547DB"/>
    <w:rsid w:val="00367B05"/>
    <w:rsid w:val="0037222A"/>
    <w:rsid w:val="00375AAE"/>
    <w:rsid w:val="00381CCB"/>
    <w:rsid w:val="003838FB"/>
    <w:rsid w:val="003875B1"/>
    <w:rsid w:val="00395C4A"/>
    <w:rsid w:val="003A10D9"/>
    <w:rsid w:val="003A2096"/>
    <w:rsid w:val="003A35F7"/>
    <w:rsid w:val="003B126A"/>
    <w:rsid w:val="003B31B9"/>
    <w:rsid w:val="003B76D6"/>
    <w:rsid w:val="003B7CB3"/>
    <w:rsid w:val="003C41C7"/>
    <w:rsid w:val="003C52BD"/>
    <w:rsid w:val="003D1116"/>
    <w:rsid w:val="003D6672"/>
    <w:rsid w:val="003E0080"/>
    <w:rsid w:val="003E0DA6"/>
    <w:rsid w:val="003E0F29"/>
    <w:rsid w:val="003E591F"/>
    <w:rsid w:val="003E7F74"/>
    <w:rsid w:val="003F164D"/>
    <w:rsid w:val="003F2B99"/>
    <w:rsid w:val="003F4987"/>
    <w:rsid w:val="004011F3"/>
    <w:rsid w:val="004137E4"/>
    <w:rsid w:val="0041508D"/>
    <w:rsid w:val="004301CA"/>
    <w:rsid w:val="0044202F"/>
    <w:rsid w:val="00450C24"/>
    <w:rsid w:val="00455DB1"/>
    <w:rsid w:val="00465B9C"/>
    <w:rsid w:val="00470305"/>
    <w:rsid w:val="004757E0"/>
    <w:rsid w:val="00476F20"/>
    <w:rsid w:val="00480500"/>
    <w:rsid w:val="004823D4"/>
    <w:rsid w:val="00482C89"/>
    <w:rsid w:val="00483C82"/>
    <w:rsid w:val="00486896"/>
    <w:rsid w:val="0049068F"/>
    <w:rsid w:val="00494869"/>
    <w:rsid w:val="004A0DA0"/>
    <w:rsid w:val="004A72F5"/>
    <w:rsid w:val="004B2F8F"/>
    <w:rsid w:val="004B4444"/>
    <w:rsid w:val="004B78DD"/>
    <w:rsid w:val="004C29E5"/>
    <w:rsid w:val="004C4FFB"/>
    <w:rsid w:val="004C51C7"/>
    <w:rsid w:val="004C6D95"/>
    <w:rsid w:val="004D3D15"/>
    <w:rsid w:val="004D41D1"/>
    <w:rsid w:val="004D4BD4"/>
    <w:rsid w:val="004E1E2F"/>
    <w:rsid w:val="004E4110"/>
    <w:rsid w:val="004E5757"/>
    <w:rsid w:val="00500B0D"/>
    <w:rsid w:val="0050178E"/>
    <w:rsid w:val="00506330"/>
    <w:rsid w:val="00507752"/>
    <w:rsid w:val="00517A06"/>
    <w:rsid w:val="005215B8"/>
    <w:rsid w:val="00530D31"/>
    <w:rsid w:val="00532FA6"/>
    <w:rsid w:val="00533E0D"/>
    <w:rsid w:val="00537AE1"/>
    <w:rsid w:val="00540433"/>
    <w:rsid w:val="00542B9C"/>
    <w:rsid w:val="00544164"/>
    <w:rsid w:val="005452FF"/>
    <w:rsid w:val="00550C0F"/>
    <w:rsid w:val="00553969"/>
    <w:rsid w:val="0056317A"/>
    <w:rsid w:val="005658AA"/>
    <w:rsid w:val="005659C1"/>
    <w:rsid w:val="00566E96"/>
    <w:rsid w:val="00567F89"/>
    <w:rsid w:val="005741EC"/>
    <w:rsid w:val="00581407"/>
    <w:rsid w:val="0058345B"/>
    <w:rsid w:val="00583ACF"/>
    <w:rsid w:val="00584BFA"/>
    <w:rsid w:val="00585D07"/>
    <w:rsid w:val="00591F4F"/>
    <w:rsid w:val="005A0F11"/>
    <w:rsid w:val="005A1014"/>
    <w:rsid w:val="005A3008"/>
    <w:rsid w:val="005A47C5"/>
    <w:rsid w:val="005A4A58"/>
    <w:rsid w:val="005A7FD2"/>
    <w:rsid w:val="005C3683"/>
    <w:rsid w:val="005C47DE"/>
    <w:rsid w:val="005D3CDF"/>
    <w:rsid w:val="005E6CC8"/>
    <w:rsid w:val="005F1C2B"/>
    <w:rsid w:val="005F4569"/>
    <w:rsid w:val="00614322"/>
    <w:rsid w:val="00622B8C"/>
    <w:rsid w:val="0062324E"/>
    <w:rsid w:val="00623CB9"/>
    <w:rsid w:val="00624172"/>
    <w:rsid w:val="00625FC2"/>
    <w:rsid w:val="00626136"/>
    <w:rsid w:val="006319FF"/>
    <w:rsid w:val="006340EF"/>
    <w:rsid w:val="006354A9"/>
    <w:rsid w:val="00642409"/>
    <w:rsid w:val="00644FE8"/>
    <w:rsid w:val="006517D4"/>
    <w:rsid w:val="00651CAC"/>
    <w:rsid w:val="00653764"/>
    <w:rsid w:val="00656718"/>
    <w:rsid w:val="006568CA"/>
    <w:rsid w:val="00660894"/>
    <w:rsid w:val="0066634B"/>
    <w:rsid w:val="00680FD4"/>
    <w:rsid w:val="0068354E"/>
    <w:rsid w:val="0068527A"/>
    <w:rsid w:val="00686ABA"/>
    <w:rsid w:val="00691368"/>
    <w:rsid w:val="006923DC"/>
    <w:rsid w:val="00692A9F"/>
    <w:rsid w:val="006A17CB"/>
    <w:rsid w:val="006B1514"/>
    <w:rsid w:val="006B5297"/>
    <w:rsid w:val="006B53B9"/>
    <w:rsid w:val="006B6995"/>
    <w:rsid w:val="006C4565"/>
    <w:rsid w:val="006C668C"/>
    <w:rsid w:val="006D19AD"/>
    <w:rsid w:val="006E1627"/>
    <w:rsid w:val="006E598D"/>
    <w:rsid w:val="006F0D00"/>
    <w:rsid w:val="006F2C36"/>
    <w:rsid w:val="006F4971"/>
    <w:rsid w:val="0070156D"/>
    <w:rsid w:val="00705480"/>
    <w:rsid w:val="007103F2"/>
    <w:rsid w:val="00717CD1"/>
    <w:rsid w:val="00720B06"/>
    <w:rsid w:val="007252B8"/>
    <w:rsid w:val="00730EEA"/>
    <w:rsid w:val="007320DA"/>
    <w:rsid w:val="007420BD"/>
    <w:rsid w:val="00744300"/>
    <w:rsid w:val="00747C0C"/>
    <w:rsid w:val="00751869"/>
    <w:rsid w:val="00754EA7"/>
    <w:rsid w:val="00757A3C"/>
    <w:rsid w:val="00760A8E"/>
    <w:rsid w:val="00792490"/>
    <w:rsid w:val="00795F26"/>
    <w:rsid w:val="007961C1"/>
    <w:rsid w:val="007A62C0"/>
    <w:rsid w:val="007A6C7C"/>
    <w:rsid w:val="007C1A4E"/>
    <w:rsid w:val="007C61C0"/>
    <w:rsid w:val="007D2987"/>
    <w:rsid w:val="007E057B"/>
    <w:rsid w:val="007E1DA4"/>
    <w:rsid w:val="007E376B"/>
    <w:rsid w:val="007F3E51"/>
    <w:rsid w:val="007F5D0C"/>
    <w:rsid w:val="008004A4"/>
    <w:rsid w:val="00805050"/>
    <w:rsid w:val="008073FA"/>
    <w:rsid w:val="00807471"/>
    <w:rsid w:val="00807608"/>
    <w:rsid w:val="00810557"/>
    <w:rsid w:val="00816D21"/>
    <w:rsid w:val="00822567"/>
    <w:rsid w:val="00823537"/>
    <w:rsid w:val="008321BE"/>
    <w:rsid w:val="00834004"/>
    <w:rsid w:val="00836A79"/>
    <w:rsid w:val="00841423"/>
    <w:rsid w:val="008447DE"/>
    <w:rsid w:val="008468CE"/>
    <w:rsid w:val="0084690B"/>
    <w:rsid w:val="00850A31"/>
    <w:rsid w:val="008566BF"/>
    <w:rsid w:val="00861D7A"/>
    <w:rsid w:val="0088002D"/>
    <w:rsid w:val="008839DA"/>
    <w:rsid w:val="00884A1B"/>
    <w:rsid w:val="008860B3"/>
    <w:rsid w:val="00886111"/>
    <w:rsid w:val="008905B2"/>
    <w:rsid w:val="0089104B"/>
    <w:rsid w:val="00893051"/>
    <w:rsid w:val="0089591F"/>
    <w:rsid w:val="008978DE"/>
    <w:rsid w:val="008A01D5"/>
    <w:rsid w:val="008A09B0"/>
    <w:rsid w:val="008A22B2"/>
    <w:rsid w:val="008A26A7"/>
    <w:rsid w:val="008A5308"/>
    <w:rsid w:val="008A79A8"/>
    <w:rsid w:val="008B04C3"/>
    <w:rsid w:val="008B1166"/>
    <w:rsid w:val="008B1400"/>
    <w:rsid w:val="008B4206"/>
    <w:rsid w:val="008B4E41"/>
    <w:rsid w:val="008B7FCE"/>
    <w:rsid w:val="008C2BCB"/>
    <w:rsid w:val="008C33A3"/>
    <w:rsid w:val="008C43EE"/>
    <w:rsid w:val="008C5166"/>
    <w:rsid w:val="008C6066"/>
    <w:rsid w:val="008D122D"/>
    <w:rsid w:val="008D5520"/>
    <w:rsid w:val="008D6EFF"/>
    <w:rsid w:val="008E4EFA"/>
    <w:rsid w:val="008E7932"/>
    <w:rsid w:val="008F4E60"/>
    <w:rsid w:val="00903ADB"/>
    <w:rsid w:val="009045DE"/>
    <w:rsid w:val="0091562D"/>
    <w:rsid w:val="00915B4F"/>
    <w:rsid w:val="00921C18"/>
    <w:rsid w:val="009261EE"/>
    <w:rsid w:val="00936367"/>
    <w:rsid w:val="00937CAF"/>
    <w:rsid w:val="009420D9"/>
    <w:rsid w:val="0094368C"/>
    <w:rsid w:val="00944089"/>
    <w:rsid w:val="00952698"/>
    <w:rsid w:val="00953831"/>
    <w:rsid w:val="00964105"/>
    <w:rsid w:val="00966454"/>
    <w:rsid w:val="00967B04"/>
    <w:rsid w:val="009727C2"/>
    <w:rsid w:val="00976BCE"/>
    <w:rsid w:val="0098027D"/>
    <w:rsid w:val="009866D6"/>
    <w:rsid w:val="00987554"/>
    <w:rsid w:val="009926CC"/>
    <w:rsid w:val="00992D61"/>
    <w:rsid w:val="009A1230"/>
    <w:rsid w:val="009A7367"/>
    <w:rsid w:val="009B24FC"/>
    <w:rsid w:val="009B5ACE"/>
    <w:rsid w:val="009C2634"/>
    <w:rsid w:val="009C53F4"/>
    <w:rsid w:val="009C5D8D"/>
    <w:rsid w:val="009D3F3E"/>
    <w:rsid w:val="009D6468"/>
    <w:rsid w:val="009E401C"/>
    <w:rsid w:val="009E6CCE"/>
    <w:rsid w:val="00A0268D"/>
    <w:rsid w:val="00A05E4E"/>
    <w:rsid w:val="00A06F1E"/>
    <w:rsid w:val="00A140D8"/>
    <w:rsid w:val="00A167D1"/>
    <w:rsid w:val="00A214F0"/>
    <w:rsid w:val="00A23339"/>
    <w:rsid w:val="00A305F6"/>
    <w:rsid w:val="00A41832"/>
    <w:rsid w:val="00A46B00"/>
    <w:rsid w:val="00A51DF7"/>
    <w:rsid w:val="00A52133"/>
    <w:rsid w:val="00A5545B"/>
    <w:rsid w:val="00A606F7"/>
    <w:rsid w:val="00A61B1A"/>
    <w:rsid w:val="00A6296A"/>
    <w:rsid w:val="00A66156"/>
    <w:rsid w:val="00A77FA7"/>
    <w:rsid w:val="00A854EB"/>
    <w:rsid w:val="00A8622E"/>
    <w:rsid w:val="00A926D9"/>
    <w:rsid w:val="00A9513E"/>
    <w:rsid w:val="00AA34F7"/>
    <w:rsid w:val="00AA7A68"/>
    <w:rsid w:val="00AB1776"/>
    <w:rsid w:val="00AB1C3F"/>
    <w:rsid w:val="00AB3BB5"/>
    <w:rsid w:val="00AB3BCE"/>
    <w:rsid w:val="00AC1B15"/>
    <w:rsid w:val="00AD3B61"/>
    <w:rsid w:val="00AD5B2C"/>
    <w:rsid w:val="00AE07C1"/>
    <w:rsid w:val="00AF0866"/>
    <w:rsid w:val="00AF2B59"/>
    <w:rsid w:val="00AF591A"/>
    <w:rsid w:val="00B047D0"/>
    <w:rsid w:val="00B07F45"/>
    <w:rsid w:val="00B13279"/>
    <w:rsid w:val="00B15CA6"/>
    <w:rsid w:val="00B176A1"/>
    <w:rsid w:val="00B21F60"/>
    <w:rsid w:val="00B2254E"/>
    <w:rsid w:val="00B24DC2"/>
    <w:rsid w:val="00B25BF9"/>
    <w:rsid w:val="00B276CC"/>
    <w:rsid w:val="00B30686"/>
    <w:rsid w:val="00B30AAE"/>
    <w:rsid w:val="00B40993"/>
    <w:rsid w:val="00B42A4E"/>
    <w:rsid w:val="00B46A97"/>
    <w:rsid w:val="00B5126D"/>
    <w:rsid w:val="00B54A8E"/>
    <w:rsid w:val="00B6549D"/>
    <w:rsid w:val="00B6793A"/>
    <w:rsid w:val="00B739A8"/>
    <w:rsid w:val="00B83717"/>
    <w:rsid w:val="00B8420F"/>
    <w:rsid w:val="00B92B17"/>
    <w:rsid w:val="00B935E5"/>
    <w:rsid w:val="00BA0246"/>
    <w:rsid w:val="00BA163F"/>
    <w:rsid w:val="00BA7272"/>
    <w:rsid w:val="00BB31D0"/>
    <w:rsid w:val="00BB6BBA"/>
    <w:rsid w:val="00BC75BD"/>
    <w:rsid w:val="00BD07E9"/>
    <w:rsid w:val="00BD1160"/>
    <w:rsid w:val="00BD5879"/>
    <w:rsid w:val="00BE162A"/>
    <w:rsid w:val="00BE23B0"/>
    <w:rsid w:val="00BE3B6E"/>
    <w:rsid w:val="00BF71B3"/>
    <w:rsid w:val="00BF7679"/>
    <w:rsid w:val="00C0423A"/>
    <w:rsid w:val="00C0763B"/>
    <w:rsid w:val="00C120DA"/>
    <w:rsid w:val="00C16B1D"/>
    <w:rsid w:val="00C23D15"/>
    <w:rsid w:val="00C34901"/>
    <w:rsid w:val="00C3602D"/>
    <w:rsid w:val="00C36CAD"/>
    <w:rsid w:val="00C82DF3"/>
    <w:rsid w:val="00C93BF1"/>
    <w:rsid w:val="00C94811"/>
    <w:rsid w:val="00C96F8C"/>
    <w:rsid w:val="00C97D94"/>
    <w:rsid w:val="00CA46B0"/>
    <w:rsid w:val="00CA6139"/>
    <w:rsid w:val="00CB5A1F"/>
    <w:rsid w:val="00CC2E29"/>
    <w:rsid w:val="00CC4A9B"/>
    <w:rsid w:val="00CC6BA5"/>
    <w:rsid w:val="00CD256D"/>
    <w:rsid w:val="00CD789F"/>
    <w:rsid w:val="00CD7C32"/>
    <w:rsid w:val="00CE1F76"/>
    <w:rsid w:val="00CE6A14"/>
    <w:rsid w:val="00CE7BD7"/>
    <w:rsid w:val="00CF6546"/>
    <w:rsid w:val="00CF77F8"/>
    <w:rsid w:val="00D14A3E"/>
    <w:rsid w:val="00D15EB3"/>
    <w:rsid w:val="00D20BE1"/>
    <w:rsid w:val="00D22B26"/>
    <w:rsid w:val="00D23963"/>
    <w:rsid w:val="00D27A9B"/>
    <w:rsid w:val="00D27C72"/>
    <w:rsid w:val="00D30D96"/>
    <w:rsid w:val="00D31259"/>
    <w:rsid w:val="00D3312D"/>
    <w:rsid w:val="00D5176D"/>
    <w:rsid w:val="00D55131"/>
    <w:rsid w:val="00D618E9"/>
    <w:rsid w:val="00D6389B"/>
    <w:rsid w:val="00D678A9"/>
    <w:rsid w:val="00D67910"/>
    <w:rsid w:val="00D76A91"/>
    <w:rsid w:val="00D77D75"/>
    <w:rsid w:val="00D87EC6"/>
    <w:rsid w:val="00D91BF5"/>
    <w:rsid w:val="00D94347"/>
    <w:rsid w:val="00D964DA"/>
    <w:rsid w:val="00D972C9"/>
    <w:rsid w:val="00D97D82"/>
    <w:rsid w:val="00DA3E29"/>
    <w:rsid w:val="00DB4C87"/>
    <w:rsid w:val="00DB50A1"/>
    <w:rsid w:val="00DB76B3"/>
    <w:rsid w:val="00DC10C3"/>
    <w:rsid w:val="00DC286A"/>
    <w:rsid w:val="00DC7DC5"/>
    <w:rsid w:val="00DD0C88"/>
    <w:rsid w:val="00DD2DDF"/>
    <w:rsid w:val="00DD573E"/>
    <w:rsid w:val="00DE491B"/>
    <w:rsid w:val="00DE518A"/>
    <w:rsid w:val="00DE572B"/>
    <w:rsid w:val="00DE7BDF"/>
    <w:rsid w:val="00DF0A33"/>
    <w:rsid w:val="00DF2833"/>
    <w:rsid w:val="00DF3DDB"/>
    <w:rsid w:val="00DF4622"/>
    <w:rsid w:val="00E027DF"/>
    <w:rsid w:val="00E02C7D"/>
    <w:rsid w:val="00E03318"/>
    <w:rsid w:val="00E04632"/>
    <w:rsid w:val="00E1182B"/>
    <w:rsid w:val="00E13252"/>
    <w:rsid w:val="00E14054"/>
    <w:rsid w:val="00E140B9"/>
    <w:rsid w:val="00E20E84"/>
    <w:rsid w:val="00E25E60"/>
    <w:rsid w:val="00E308DD"/>
    <w:rsid w:val="00E30F9E"/>
    <w:rsid w:val="00E3116B"/>
    <w:rsid w:val="00E40A02"/>
    <w:rsid w:val="00E42F5C"/>
    <w:rsid w:val="00E45C88"/>
    <w:rsid w:val="00E5065A"/>
    <w:rsid w:val="00E51B58"/>
    <w:rsid w:val="00E60826"/>
    <w:rsid w:val="00E646BB"/>
    <w:rsid w:val="00E6479D"/>
    <w:rsid w:val="00E71D7D"/>
    <w:rsid w:val="00E7469E"/>
    <w:rsid w:val="00E7619F"/>
    <w:rsid w:val="00E77CCA"/>
    <w:rsid w:val="00E82052"/>
    <w:rsid w:val="00E83E61"/>
    <w:rsid w:val="00E917F8"/>
    <w:rsid w:val="00E949F3"/>
    <w:rsid w:val="00E95E34"/>
    <w:rsid w:val="00EA1C6B"/>
    <w:rsid w:val="00EA2F30"/>
    <w:rsid w:val="00EA33AB"/>
    <w:rsid w:val="00EA557C"/>
    <w:rsid w:val="00EA67D6"/>
    <w:rsid w:val="00EB09A8"/>
    <w:rsid w:val="00EB4C40"/>
    <w:rsid w:val="00EB5A40"/>
    <w:rsid w:val="00EC01FD"/>
    <w:rsid w:val="00EC179A"/>
    <w:rsid w:val="00EC30EC"/>
    <w:rsid w:val="00EC339E"/>
    <w:rsid w:val="00EE7394"/>
    <w:rsid w:val="00EF1FB5"/>
    <w:rsid w:val="00F0343B"/>
    <w:rsid w:val="00F072A6"/>
    <w:rsid w:val="00F07D92"/>
    <w:rsid w:val="00F108FF"/>
    <w:rsid w:val="00F1258F"/>
    <w:rsid w:val="00F17FA2"/>
    <w:rsid w:val="00F20054"/>
    <w:rsid w:val="00F2466D"/>
    <w:rsid w:val="00F25E89"/>
    <w:rsid w:val="00F323C5"/>
    <w:rsid w:val="00F455EB"/>
    <w:rsid w:val="00F4652C"/>
    <w:rsid w:val="00F46BEE"/>
    <w:rsid w:val="00F50CF7"/>
    <w:rsid w:val="00F52938"/>
    <w:rsid w:val="00F53524"/>
    <w:rsid w:val="00F5447C"/>
    <w:rsid w:val="00F55AF5"/>
    <w:rsid w:val="00F564C2"/>
    <w:rsid w:val="00F56BD1"/>
    <w:rsid w:val="00F60E2A"/>
    <w:rsid w:val="00F65A56"/>
    <w:rsid w:val="00F71044"/>
    <w:rsid w:val="00F71198"/>
    <w:rsid w:val="00F84097"/>
    <w:rsid w:val="00F8449D"/>
    <w:rsid w:val="00F85CF4"/>
    <w:rsid w:val="00F86552"/>
    <w:rsid w:val="00F90B98"/>
    <w:rsid w:val="00FA73E7"/>
    <w:rsid w:val="00FA7A21"/>
    <w:rsid w:val="00FB1F4D"/>
    <w:rsid w:val="00FC17B5"/>
    <w:rsid w:val="00FC3CB7"/>
    <w:rsid w:val="00FC6301"/>
    <w:rsid w:val="00FD13C3"/>
    <w:rsid w:val="00FD28F8"/>
    <w:rsid w:val="00FE5D47"/>
    <w:rsid w:val="00FE7043"/>
    <w:rsid w:val="00FF19A9"/>
    <w:rsid w:val="03885B3A"/>
    <w:rsid w:val="113E5B0A"/>
    <w:rsid w:val="1FFD4D8D"/>
    <w:rsid w:val="39561614"/>
    <w:rsid w:val="43AE2C29"/>
    <w:rsid w:val="688A0C27"/>
    <w:rsid w:val="69F009C1"/>
    <w:rsid w:val="6F8D680D"/>
    <w:rsid w:val="6FE664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before="100" w:beforeAutospacing="1" w:after="200"/>
    </w:pPr>
    <w:rPr>
      <w:rFonts w:ascii="Tahoma" w:hAnsi="Tahoma" w:eastAsia="微软雅黑" w:cs="Times New Roman"/>
      <w:sz w:val="22"/>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11"/>
    <w:qFormat/>
    <w:uiPriority w:val="0"/>
    <w:pPr>
      <w:widowControl w:val="0"/>
      <w:adjustRightInd/>
      <w:snapToGrid/>
      <w:spacing w:before="0" w:beforeAutospacing="0" w:after="0"/>
      <w:jc w:val="center"/>
    </w:pPr>
    <w:rPr>
      <w:rFonts w:ascii="Calibri" w:hAnsi="Calibri" w:eastAsia="方正小标宋简体"/>
      <w:kern w:val="2"/>
      <w:sz w:val="36"/>
    </w:rPr>
  </w:style>
  <w:style w:type="paragraph" w:styleId="3">
    <w:name w:val="toc 5"/>
    <w:basedOn w:val="1"/>
    <w:next w:val="1"/>
    <w:qFormat/>
    <w:uiPriority w:val="0"/>
    <w:pPr>
      <w:ind w:left="1680" w:leftChars="800"/>
    </w:pPr>
  </w:style>
  <w:style w:type="paragraph" w:styleId="4">
    <w:name w:val="Balloon Text"/>
    <w:basedOn w:val="1"/>
    <w:link w:val="12"/>
    <w:qFormat/>
    <w:uiPriority w:val="0"/>
    <w:pPr>
      <w:spacing w:before="0" w:after="0"/>
    </w:pPr>
    <w:rPr>
      <w:sz w:val="18"/>
      <w:szCs w:val="18"/>
    </w:rPr>
  </w:style>
  <w:style w:type="paragraph" w:styleId="5">
    <w:name w:val="footer"/>
    <w:basedOn w:val="1"/>
    <w:link w:val="13"/>
    <w:qFormat/>
    <w:uiPriority w:val="99"/>
    <w:pPr>
      <w:tabs>
        <w:tab w:val="center" w:pos="4153"/>
        <w:tab w:val="right" w:pos="8306"/>
      </w:tabs>
    </w:pPr>
    <w:rPr>
      <w:sz w:val="18"/>
      <w:szCs w:val="18"/>
    </w:rPr>
  </w:style>
  <w:style w:type="paragraph" w:styleId="6">
    <w:name w:val="header"/>
    <w:basedOn w:val="1"/>
    <w:qFormat/>
    <w:uiPriority w:val="0"/>
    <w:pPr>
      <w:pBdr>
        <w:bottom w:val="single" w:color="auto" w:sz="6" w:space="1"/>
      </w:pBdr>
      <w:tabs>
        <w:tab w:val="center" w:pos="4153"/>
        <w:tab w:val="right" w:pos="8306"/>
      </w:tabs>
      <w:jc w:val="center"/>
    </w:pPr>
    <w:rPr>
      <w:sz w:val="18"/>
      <w:szCs w:val="18"/>
    </w:rPr>
  </w:style>
  <w:style w:type="paragraph" w:styleId="7">
    <w:name w:val="Normal (Web)"/>
    <w:basedOn w:val="1"/>
    <w:unhideWhenUsed/>
    <w:qFormat/>
    <w:uiPriority w:val="0"/>
    <w:pPr>
      <w:adjustRightInd/>
      <w:snapToGrid/>
      <w:spacing w:after="100" w:afterAutospacing="1"/>
    </w:pPr>
    <w:rPr>
      <w:rFonts w:ascii="宋体" w:hAnsi="宋体" w:eastAsia="宋体" w:cs="宋体"/>
      <w:sz w:val="24"/>
      <w:szCs w:val="24"/>
    </w:rPr>
  </w:style>
  <w:style w:type="character" w:styleId="10">
    <w:name w:val="page number"/>
    <w:qFormat/>
    <w:uiPriority w:val="0"/>
  </w:style>
  <w:style w:type="character" w:customStyle="1" w:styleId="11">
    <w:name w:val="正文文本 字符"/>
    <w:link w:val="2"/>
    <w:qFormat/>
    <w:uiPriority w:val="0"/>
    <w:rPr>
      <w:rFonts w:ascii="Calibri" w:hAnsi="Calibri" w:eastAsia="方正小标宋简体" w:cs="黑体"/>
      <w:kern w:val="2"/>
      <w:sz w:val="36"/>
      <w:szCs w:val="22"/>
    </w:rPr>
  </w:style>
  <w:style w:type="character" w:customStyle="1" w:styleId="12">
    <w:name w:val="批注框文本 字符"/>
    <w:link w:val="4"/>
    <w:qFormat/>
    <w:uiPriority w:val="0"/>
    <w:rPr>
      <w:rFonts w:ascii="Tahoma" w:hAnsi="Tahoma" w:eastAsia="微软雅黑"/>
      <w:sz w:val="18"/>
      <w:szCs w:val="18"/>
    </w:rPr>
  </w:style>
  <w:style w:type="character" w:customStyle="1" w:styleId="13">
    <w:name w:val="页脚 字符"/>
    <w:link w:val="5"/>
    <w:qFormat/>
    <w:uiPriority w:val="99"/>
    <w:rPr>
      <w:rFonts w:ascii="Tahoma" w:hAnsi="Tahoma" w:eastAsia="微软雅黑"/>
      <w:sz w:val="18"/>
      <w:szCs w:val="18"/>
    </w:rPr>
  </w:style>
  <w:style w:type="paragraph" w:customStyle="1" w:styleId="14">
    <w:name w:val="正-文"/>
    <w:basedOn w:val="1"/>
    <w:qFormat/>
    <w:uiPriority w:val="0"/>
    <w:pPr>
      <w:widowControl w:val="0"/>
      <w:adjustRightInd/>
      <w:snapToGrid/>
      <w:spacing w:before="0" w:beforeAutospacing="0" w:after="0"/>
      <w:ind w:firstLine="640"/>
      <w:jc w:val="both"/>
    </w:pPr>
    <w:rPr>
      <w:rFonts w:ascii="Calibri" w:hAnsi="Calibri" w:eastAsia="宋体"/>
      <w:kern w:val="2"/>
      <w:sz w:val="21"/>
      <w:szCs w:val="32"/>
    </w:rPr>
  </w:style>
  <w:style w:type="character" w:customStyle="1" w:styleId="15">
    <w:name w:val="Body text|1_"/>
    <w:link w:val="16"/>
    <w:qFormat/>
    <w:uiPriority w:val="0"/>
    <w:rPr>
      <w:rFonts w:ascii="宋体" w:hAnsi="宋体" w:cs="宋体"/>
      <w:lang w:val="zh-TW" w:eastAsia="zh-TW" w:bidi="zh-TW"/>
    </w:rPr>
  </w:style>
  <w:style w:type="paragraph" w:customStyle="1" w:styleId="16">
    <w:name w:val="Body text|1"/>
    <w:basedOn w:val="1"/>
    <w:link w:val="15"/>
    <w:qFormat/>
    <w:uiPriority w:val="0"/>
    <w:pPr>
      <w:widowControl w:val="0"/>
      <w:adjustRightInd/>
      <w:snapToGrid/>
      <w:spacing w:before="0" w:beforeAutospacing="0" w:after="0" w:line="391" w:lineRule="auto"/>
      <w:ind w:firstLine="340"/>
    </w:pPr>
    <w:rPr>
      <w:rFonts w:ascii="宋体" w:hAnsi="宋体" w:eastAsia="宋体" w:cs="宋体"/>
      <w:sz w:val="20"/>
      <w:szCs w:val="20"/>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3</Pages>
  <Words>1207</Words>
  <Characters>1243</Characters>
  <Lines>31</Lines>
  <Paragraphs>8</Paragraphs>
  <TotalTime>14</TotalTime>
  <ScaleCrop>false</ScaleCrop>
  <LinksUpToDate>false</LinksUpToDate>
  <CharactersWithSpaces>1243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2023-08-09T09:39:00Z</dcterms:created>
  <dc:creator>lenovo</dc:creator>
  <cp:lastModifiedBy>Steven</cp:lastModifiedBy>
  <cp:lastPrinted>2023-08-10T01:17:00Z</cp:lastPrinted>
  <dcterms:modified xsi:type="dcterms:W3CDTF">2023-08-14T00:49:15Z</dcterms:modified>
  <dc:title>关于全市医保基金运行管理情况的汇报</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0A24307185394A4294280DDAB70B3420_13</vt:lpwstr>
  </property>
</Properties>
</file>