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简体" w:hAnsi="仿宋" w:eastAsia="方正小标宋简体"/>
          <w:sz w:val="44"/>
          <w:szCs w:val="44"/>
        </w:rPr>
      </w:pPr>
    </w:p>
    <w:p>
      <w:pPr>
        <w:spacing w:line="700" w:lineRule="exact"/>
        <w:jc w:val="center"/>
        <w:rPr>
          <w:rFonts w:hint="eastAsia" w:ascii="方正小标宋简体" w:hAnsi="仿宋" w:eastAsia="方正小标宋简体"/>
          <w:sz w:val="44"/>
          <w:szCs w:val="44"/>
        </w:rPr>
      </w:pPr>
    </w:p>
    <w:p>
      <w:pPr>
        <w:spacing w:line="700" w:lineRule="exact"/>
        <w:jc w:val="center"/>
        <w:rPr>
          <w:rFonts w:hint="eastAsia" w:ascii="方正小标宋简体" w:hAnsi="仿宋" w:eastAsia="方正小标宋简体"/>
          <w:sz w:val="44"/>
          <w:szCs w:val="44"/>
        </w:rPr>
      </w:pPr>
    </w:p>
    <w:p>
      <w:pPr>
        <w:spacing w:line="700" w:lineRule="exact"/>
        <w:jc w:val="center"/>
        <w:rPr>
          <w:rFonts w:hint="eastAsia" w:ascii="方正小标宋简体" w:hAnsi="仿宋" w:eastAsia="方正小标宋简体"/>
          <w:sz w:val="44"/>
          <w:szCs w:val="44"/>
        </w:rPr>
      </w:pPr>
    </w:p>
    <w:p>
      <w:pPr>
        <w:spacing w:line="700" w:lineRule="exact"/>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益阳市医疗保障局  益阳市财政局</w:t>
      </w:r>
    </w:p>
    <w:p>
      <w:pPr>
        <w:spacing w:line="700" w:lineRule="exact"/>
        <w:jc w:val="center"/>
        <w:rPr>
          <w:rFonts w:hint="eastAsia" w:ascii="方正小标宋简体" w:hAnsi="仿宋" w:eastAsia="方正小标宋简体"/>
          <w:sz w:val="44"/>
          <w:szCs w:val="44"/>
          <w:lang w:eastAsia="zh-CN"/>
        </w:rPr>
      </w:pPr>
      <w:r>
        <w:rPr>
          <w:rFonts w:hint="eastAsia" w:ascii="方正小标宋简体" w:hAnsi="仿宋" w:eastAsia="方正小标宋简体"/>
          <w:spacing w:val="-4"/>
          <w:sz w:val="44"/>
          <w:szCs w:val="44"/>
        </w:rPr>
        <w:t xml:space="preserve">益阳市卫生健康委员会 </w:t>
      </w:r>
      <w:r>
        <w:rPr>
          <w:rFonts w:hint="eastAsia" w:ascii="方正小标宋简体" w:hAnsi="仿宋" w:eastAsia="方正小标宋简体"/>
          <w:sz w:val="44"/>
          <w:szCs w:val="44"/>
        </w:rPr>
        <w:t>关于加强医疗保障支持中医药传承创新发展若干试行措施的</w:t>
      </w:r>
      <w:r>
        <w:rPr>
          <w:rFonts w:hint="eastAsia" w:ascii="方正小标宋简体" w:hAnsi="仿宋" w:eastAsia="方正小标宋简体"/>
          <w:sz w:val="44"/>
          <w:szCs w:val="44"/>
          <w:lang w:eastAsia="zh-CN"/>
        </w:rPr>
        <w:t>通知</w:t>
      </w:r>
    </w:p>
    <w:p>
      <w:pPr>
        <w:pStyle w:val="2"/>
        <w:jc w:val="center"/>
        <w:rPr>
          <w:rFonts w:hint="eastAsia" w:eastAsia="方正小标宋简体"/>
          <w:lang w:val="en-US" w:eastAsia="zh-CN"/>
        </w:rPr>
      </w:pPr>
      <w:r>
        <w:rPr>
          <w:rFonts w:hint="eastAsia" w:ascii="方正小标宋简体" w:hAnsi="仿宋" w:eastAsia="方正小标宋简体"/>
          <w:sz w:val="32"/>
          <w:szCs w:val="32"/>
          <w:lang w:val="en-US" w:eastAsia="zh-CN"/>
        </w:rPr>
        <w:t>(征求意见稿）</w:t>
      </w:r>
    </w:p>
    <w:p>
      <w:pPr>
        <w:rPr>
          <w:rFonts w:hint="eastAsia" w:ascii="仿宋" w:hAnsi="仿宋" w:eastAsia="仿宋"/>
          <w:sz w:val="32"/>
          <w:szCs w:val="32"/>
        </w:rPr>
      </w:pPr>
      <w:bookmarkStart w:id="0" w:name="_GoBack"/>
      <w:bookmarkEnd w:id="0"/>
    </w:p>
    <w:p>
      <w:pPr>
        <w:rPr>
          <w:rFonts w:hint="eastAsia" w:ascii="仿宋" w:hAnsi="仿宋" w:eastAsia="仿宋"/>
          <w:sz w:val="32"/>
          <w:szCs w:val="32"/>
          <w:highlight w:val="none"/>
        </w:rPr>
      </w:pPr>
      <w:r>
        <w:rPr>
          <w:rFonts w:hint="eastAsia" w:ascii="仿宋" w:hAnsi="仿宋" w:eastAsia="仿宋"/>
          <w:sz w:val="32"/>
          <w:szCs w:val="32"/>
        </w:rPr>
        <w:t>各区县（市）医疗保障局、财政局、</w:t>
      </w:r>
      <w:r>
        <w:rPr>
          <w:rFonts w:hint="eastAsia" w:ascii="仿宋" w:hAnsi="仿宋" w:eastAsia="仿宋"/>
          <w:sz w:val="32"/>
          <w:szCs w:val="32"/>
          <w:highlight w:val="none"/>
        </w:rPr>
        <w:t>卫生健康</w:t>
      </w:r>
      <w:r>
        <w:rPr>
          <w:rFonts w:hint="eastAsia" w:ascii="仿宋" w:hAnsi="仿宋" w:eastAsia="仿宋"/>
          <w:sz w:val="32"/>
          <w:szCs w:val="32"/>
          <w:highlight w:val="none"/>
          <w:lang w:eastAsia="zh-CN"/>
        </w:rPr>
        <w:t>局</w:t>
      </w:r>
      <w:r>
        <w:rPr>
          <w:rFonts w:hint="eastAsia" w:ascii="仿宋" w:hAnsi="仿宋" w:eastAsia="仿宋"/>
          <w:sz w:val="32"/>
          <w:szCs w:val="32"/>
          <w:highlight w:val="none"/>
        </w:rPr>
        <w:t>：</w:t>
      </w:r>
    </w:p>
    <w:p>
      <w:pPr>
        <w:rPr>
          <w:rFonts w:hint="eastAsia" w:ascii="仿宋" w:hAnsi="仿宋" w:eastAsia="仿宋" w:cs="仿宋"/>
          <w:sz w:val="32"/>
          <w:szCs w:val="32"/>
        </w:rPr>
      </w:pPr>
      <w:r>
        <w:rPr>
          <w:rFonts w:hint="eastAsia" w:ascii="仿宋" w:hAnsi="仿宋" w:eastAsia="仿宋"/>
          <w:sz w:val="32"/>
          <w:szCs w:val="32"/>
          <w:highlight w:val="none"/>
        </w:rPr>
        <w:t xml:space="preserve">    </w:t>
      </w:r>
      <w:r>
        <w:rPr>
          <w:rFonts w:hint="eastAsia" w:ascii="仿宋" w:hAnsi="仿宋" w:eastAsia="仿宋" w:cs="仿宋"/>
          <w:sz w:val="32"/>
          <w:szCs w:val="32"/>
          <w:highlight w:val="none"/>
        </w:rPr>
        <w:t>为深入贯彻落实《湖南省实施&lt;中华人民共和国中医药法&gt;办法》和《中共湖南省委 湖南省人民政府关于促进中医药传承创新发展的实施意见》，</w:t>
      </w:r>
      <w:r>
        <w:rPr>
          <w:rFonts w:hint="eastAsia" w:ascii="仿宋" w:hAnsi="仿宋" w:eastAsia="仿宋" w:cs="仿宋"/>
          <w:sz w:val="32"/>
          <w:szCs w:val="32"/>
          <w:highlight w:val="none"/>
          <w:lang w:eastAsia="zh-CN"/>
        </w:rPr>
        <w:t>根据《湖南省医疗保障局</w:t>
      </w:r>
      <w:r>
        <w:rPr>
          <w:rFonts w:hint="eastAsia" w:ascii="仿宋" w:hAnsi="仿宋" w:eastAsia="仿宋" w:cs="仿宋"/>
          <w:sz w:val="32"/>
          <w:szCs w:val="32"/>
          <w:highlight w:val="none"/>
          <w:lang w:val="en-US" w:eastAsia="zh-CN"/>
        </w:rPr>
        <w:t xml:space="preserve"> 湖南省财政厅 湖南省卫生健康委员会 湖南省中医药管理局 </w:t>
      </w:r>
      <w:r>
        <w:rPr>
          <w:rFonts w:hint="eastAsia" w:ascii="仿宋" w:hAnsi="仿宋" w:eastAsia="仿宋" w:cs="仿宋"/>
          <w:sz w:val="32"/>
          <w:szCs w:val="32"/>
          <w:highlight w:val="none"/>
          <w:lang w:eastAsia="zh-CN"/>
        </w:rPr>
        <w:t>关于加强医疗保障支持中医药传承创新发展若干试行措施的意见》（湘医保发〔</w:t>
      </w:r>
      <w:r>
        <w:rPr>
          <w:rFonts w:hint="eastAsia" w:ascii="仿宋" w:hAnsi="仿宋" w:eastAsia="仿宋" w:cs="仿宋"/>
          <w:sz w:val="32"/>
          <w:szCs w:val="32"/>
          <w:highlight w:val="none"/>
          <w:lang w:val="en-US" w:eastAsia="zh-CN"/>
        </w:rPr>
        <w:t>2020</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55号）</w:t>
      </w:r>
      <w:r>
        <w:rPr>
          <w:rFonts w:hint="eastAsia" w:ascii="仿宋" w:hAnsi="仿宋" w:eastAsia="仿宋" w:cs="仿宋"/>
          <w:sz w:val="32"/>
          <w:szCs w:val="32"/>
          <w:highlight w:val="none"/>
          <w:lang w:eastAsia="zh-CN"/>
        </w:rPr>
        <w:t>文件精神，</w:t>
      </w:r>
      <w:r>
        <w:rPr>
          <w:rFonts w:hint="eastAsia" w:ascii="仿宋" w:hAnsi="仿宋" w:eastAsia="仿宋" w:cs="仿宋"/>
          <w:sz w:val="32"/>
          <w:szCs w:val="32"/>
          <w:highlight w:val="none"/>
        </w:rPr>
        <w:t>充分发挥医疗保障的支持作用，推动我</w:t>
      </w:r>
      <w:r>
        <w:rPr>
          <w:rFonts w:hint="eastAsia" w:ascii="仿宋" w:hAnsi="仿宋" w:eastAsia="仿宋" w:cs="仿宋"/>
          <w:sz w:val="32"/>
          <w:szCs w:val="32"/>
          <w:highlight w:val="none"/>
          <w:lang w:eastAsia="zh-CN"/>
        </w:rPr>
        <w:t>市</w:t>
      </w:r>
      <w:r>
        <w:rPr>
          <w:rFonts w:hint="eastAsia" w:ascii="仿宋" w:hAnsi="仿宋" w:eastAsia="仿宋" w:cs="仿宋"/>
          <w:sz w:val="32"/>
          <w:szCs w:val="32"/>
          <w:highlight w:val="none"/>
        </w:rPr>
        <w:t>中医药事业高质量发展，加快构建湖湘中医药传承创新体系，提高我</w:t>
      </w:r>
      <w:r>
        <w:rPr>
          <w:rFonts w:hint="eastAsia" w:ascii="仿宋" w:hAnsi="仿宋" w:eastAsia="仿宋" w:cs="仿宋"/>
          <w:sz w:val="32"/>
          <w:szCs w:val="32"/>
          <w:highlight w:val="none"/>
          <w:lang w:eastAsia="zh-CN"/>
        </w:rPr>
        <w:t>市</w:t>
      </w:r>
      <w:r>
        <w:rPr>
          <w:rFonts w:hint="eastAsia" w:ascii="仿宋" w:hAnsi="仿宋" w:eastAsia="仿宋" w:cs="仿宋"/>
          <w:sz w:val="32"/>
          <w:szCs w:val="32"/>
          <w:highlight w:val="none"/>
        </w:rPr>
        <w:t>人民群众医疗保障水平，按照</w:t>
      </w:r>
      <w:r>
        <w:rPr>
          <w:rFonts w:hint="eastAsia" w:ascii="仿宋" w:hAnsi="仿宋" w:eastAsia="仿宋" w:cs="仿宋"/>
          <w:sz w:val="32"/>
          <w:szCs w:val="32"/>
          <w:highlight w:val="none"/>
          <w:lang w:eastAsia="zh-CN"/>
        </w:rPr>
        <w:t>市</w:t>
      </w:r>
      <w:r>
        <w:rPr>
          <w:rFonts w:hint="eastAsia" w:ascii="仿宋" w:hAnsi="仿宋" w:eastAsia="仿宋" w:cs="仿宋"/>
          <w:sz w:val="32"/>
          <w:szCs w:val="32"/>
          <w:highlight w:val="none"/>
        </w:rPr>
        <w:t>委、</w:t>
      </w:r>
      <w:r>
        <w:rPr>
          <w:rFonts w:hint="eastAsia" w:ascii="仿宋" w:hAnsi="仿宋" w:eastAsia="仿宋" w:cs="仿宋"/>
          <w:sz w:val="32"/>
          <w:szCs w:val="32"/>
          <w:highlight w:val="none"/>
          <w:lang w:eastAsia="zh-CN"/>
        </w:rPr>
        <w:t>市</w:t>
      </w:r>
      <w:r>
        <w:rPr>
          <w:rFonts w:hint="eastAsia" w:ascii="仿宋" w:hAnsi="仿宋" w:eastAsia="仿宋" w:cs="仿宋"/>
          <w:sz w:val="32"/>
          <w:szCs w:val="32"/>
          <w:highlight w:val="none"/>
        </w:rPr>
        <w:t>政府关于建设中医药强</w:t>
      </w:r>
      <w:r>
        <w:rPr>
          <w:rFonts w:hint="eastAsia" w:ascii="仿宋" w:hAnsi="仿宋" w:eastAsia="仿宋" w:cs="仿宋"/>
          <w:sz w:val="32"/>
          <w:szCs w:val="32"/>
          <w:highlight w:val="none"/>
          <w:lang w:eastAsia="zh-CN"/>
        </w:rPr>
        <w:t>市</w:t>
      </w:r>
      <w:r>
        <w:rPr>
          <w:rFonts w:hint="eastAsia" w:ascii="仿宋" w:hAnsi="仿宋" w:eastAsia="仿宋" w:cs="仿宋"/>
          <w:sz w:val="32"/>
          <w:szCs w:val="32"/>
          <w:highlight w:val="none"/>
        </w:rPr>
        <w:t>奋斗目标的部署要求，现就</w:t>
      </w:r>
      <w:r>
        <w:rPr>
          <w:rFonts w:hint="eastAsia" w:ascii="仿宋" w:hAnsi="仿宋" w:eastAsia="仿宋" w:cs="仿宋"/>
          <w:sz w:val="32"/>
          <w:szCs w:val="32"/>
          <w:highlight w:val="none"/>
          <w:lang w:eastAsia="zh-CN"/>
        </w:rPr>
        <w:t>我市</w:t>
      </w:r>
      <w:r>
        <w:rPr>
          <w:rFonts w:hint="eastAsia" w:ascii="仿宋" w:hAnsi="仿宋" w:eastAsia="仿宋" w:cs="仿宋"/>
          <w:sz w:val="32"/>
          <w:szCs w:val="32"/>
          <w:highlight w:val="none"/>
        </w:rPr>
        <w:t>医疗保</w:t>
      </w:r>
      <w:r>
        <w:rPr>
          <w:rFonts w:hint="eastAsia" w:ascii="仿宋" w:hAnsi="仿宋" w:eastAsia="仿宋" w:cs="仿宋"/>
          <w:sz w:val="32"/>
          <w:szCs w:val="32"/>
        </w:rPr>
        <w:t>障支持中医药发展制定如下试行政策措施。</w:t>
      </w:r>
    </w:p>
    <w:p>
      <w:pPr>
        <w:ind w:firstLine="706" w:firstLineChars="222"/>
        <w:rPr>
          <w:rFonts w:hint="eastAsia" w:ascii="微软雅黑" w:hAnsi="微软雅黑" w:eastAsia="微软雅黑" w:cs="微软雅黑"/>
          <w:b w:val="0"/>
          <w:bCs w:val="0"/>
          <w:sz w:val="32"/>
          <w:szCs w:val="32"/>
        </w:rPr>
      </w:pPr>
      <w:r>
        <w:rPr>
          <w:rFonts w:hint="eastAsia" w:ascii="微软雅黑" w:hAnsi="微软雅黑" w:eastAsia="微软雅黑" w:cs="微软雅黑"/>
          <w:b w:val="0"/>
          <w:bCs w:val="0"/>
          <w:sz w:val="32"/>
          <w:szCs w:val="32"/>
        </w:rPr>
        <w:t>一、支持中医医疗机构发展</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（一）中医医疗机构及时纳入医保定点范围。</w:t>
      </w:r>
      <w:r>
        <w:rPr>
          <w:rFonts w:hint="eastAsia" w:ascii="仿宋" w:hAnsi="仿宋" w:eastAsia="仿宋"/>
          <w:sz w:val="32"/>
          <w:szCs w:val="32"/>
        </w:rPr>
        <w:t>支持发展中医诊所、门诊部和特色专科医院，鼓励连锁经营。医疗机构区域规划布局适当向中医医疗机构倾斜，对符合条件的各级各类中医医疗机构及时纳入医保定点管理范围。</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（二）提升医保定点中医院服务功能。</w:t>
      </w:r>
      <w:r>
        <w:rPr>
          <w:rFonts w:hint="eastAsia" w:ascii="仿宋" w:hAnsi="仿宋" w:eastAsia="仿宋"/>
          <w:sz w:val="32"/>
          <w:szCs w:val="32"/>
        </w:rPr>
        <w:t>加快推进医保定点中医院异地就医联网结算，及时将各级中医类定点医院纳入异地住院联网结算和门诊慢病联网结算定点医疗机构范围，提升中医医疗机构区域辐射力。</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（三）医保总额预算向中医医疗机构倾斜。</w:t>
      </w:r>
      <w:r>
        <w:rPr>
          <w:rFonts w:hint="eastAsia" w:ascii="仿宋" w:hAnsi="仿宋" w:eastAsia="仿宋"/>
          <w:sz w:val="32"/>
          <w:szCs w:val="32"/>
        </w:rPr>
        <w:t>提高医保总额预算的科学性、合理性，总额指标对中医医疗机构适当倾斜，重点向以中医药诊疗收入为主的中医医疗机构倾斜。对因重大政策调整导致的服务量增加等引起的中医医药费用增长，医保基金给予合理补偿。</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（四）提高中医药服务报销比例。</w:t>
      </w:r>
      <w:r>
        <w:rPr>
          <w:rFonts w:hint="eastAsia" w:ascii="仿宋" w:hAnsi="仿宋" w:eastAsia="仿宋"/>
          <w:sz w:val="32"/>
          <w:szCs w:val="32"/>
        </w:rPr>
        <w:t>进一步发挥中医药特色服务优势，参保人员使用中医药治疗，</w:t>
      </w:r>
      <w:r>
        <w:rPr>
          <w:rFonts w:hint="eastAsia" w:ascii="仿宋" w:hAnsi="仿宋" w:eastAsia="仿宋"/>
          <w:sz w:val="32"/>
          <w:szCs w:val="32"/>
          <w:highlight w:val="none"/>
          <w:lang w:val="en-US" w:eastAsia="zh-CN"/>
        </w:rPr>
        <w:t>应根据省级相关文件同步</w:t>
      </w:r>
      <w:r>
        <w:rPr>
          <w:rFonts w:hint="eastAsia" w:ascii="仿宋" w:hAnsi="仿宋" w:eastAsia="仿宋"/>
          <w:sz w:val="32"/>
          <w:szCs w:val="32"/>
        </w:rPr>
        <w:t>提高医药费用报销比例。将符合规定的治疗性中医药和中医诊疗技术项目依程序逐步纳入基本医保可报</w:t>
      </w:r>
      <w:r>
        <w:rPr>
          <w:rFonts w:hint="eastAsia" w:ascii="仿宋" w:hAnsi="仿宋" w:eastAsia="仿宋"/>
          <w:sz w:val="32"/>
          <w:szCs w:val="32"/>
          <w:lang w:eastAsia="zh-CN"/>
        </w:rPr>
        <w:t>销</w:t>
      </w:r>
      <w:r>
        <w:rPr>
          <w:rFonts w:hint="eastAsia" w:ascii="仿宋" w:hAnsi="仿宋" w:eastAsia="仿宋"/>
          <w:sz w:val="32"/>
          <w:szCs w:val="32"/>
        </w:rPr>
        <w:t>范围。加大对基层医疗卫生机构中医的支持力度。</w:t>
      </w:r>
    </w:p>
    <w:p>
      <w:pPr>
        <w:ind w:firstLine="706" w:firstLineChars="222"/>
        <w:rPr>
          <w:rFonts w:hint="eastAsia" w:ascii="微软雅黑" w:hAnsi="微软雅黑" w:eastAsia="微软雅黑" w:cs="微软雅黑"/>
          <w:b w:val="0"/>
          <w:bCs w:val="0"/>
          <w:sz w:val="32"/>
          <w:szCs w:val="32"/>
        </w:rPr>
      </w:pPr>
      <w:r>
        <w:rPr>
          <w:rFonts w:hint="eastAsia" w:ascii="微软雅黑" w:hAnsi="微软雅黑" w:eastAsia="微软雅黑" w:cs="微软雅黑"/>
          <w:b w:val="0"/>
          <w:bCs w:val="0"/>
          <w:sz w:val="32"/>
          <w:szCs w:val="32"/>
        </w:rPr>
        <w:t>二、支持中医诊疗技术发展</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（一）及时新增部分中医医疗服务项目。</w:t>
      </w:r>
      <w:r>
        <w:rPr>
          <w:rFonts w:hint="eastAsia" w:ascii="仿宋" w:hAnsi="仿宋" w:eastAsia="仿宋"/>
          <w:sz w:val="32"/>
          <w:szCs w:val="32"/>
        </w:rPr>
        <w:t>支持中医理论创新和技术创新，对填补重大疾病诊疗手段或诊疗项目空白、体现中医创新和临床价值的中医诊疗技术项目，按照新增医疗服务价格项目管理工作的相关流程，予以优先</w:t>
      </w:r>
      <w:r>
        <w:rPr>
          <w:rFonts w:hint="eastAsia" w:ascii="仿宋" w:hAnsi="仿宋" w:eastAsia="仿宋"/>
          <w:sz w:val="32"/>
          <w:szCs w:val="32"/>
          <w:lang w:eastAsia="zh-CN"/>
        </w:rPr>
        <w:t>审</w:t>
      </w:r>
      <w:r>
        <w:rPr>
          <w:rFonts w:hint="eastAsia" w:ascii="仿宋" w:hAnsi="仿宋" w:eastAsia="仿宋"/>
          <w:sz w:val="32"/>
          <w:szCs w:val="32"/>
        </w:rPr>
        <w:t>批。</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（二）适当调整部分中医医疗服务项目价格。</w:t>
      </w:r>
      <w:r>
        <w:rPr>
          <w:rFonts w:hint="eastAsia" w:ascii="仿宋" w:hAnsi="仿宋" w:eastAsia="仿宋"/>
          <w:sz w:val="32"/>
          <w:szCs w:val="32"/>
        </w:rPr>
        <w:t>按照“总量控制，结构调整”的原则，在动态调整医疗服务价格过程中，对中医诊疗项目予以倾斜，重点调升具有传承价值、体现中医特色的中医诊疗技术项目价格，促进中医药传承发展。</w:t>
      </w:r>
    </w:p>
    <w:p>
      <w:pPr>
        <w:ind w:firstLine="706" w:firstLineChars="222"/>
        <w:rPr>
          <w:rFonts w:hint="eastAsia" w:ascii="微软雅黑" w:hAnsi="微软雅黑" w:eastAsia="微软雅黑" w:cs="微软雅黑"/>
          <w:b w:val="0"/>
          <w:bCs w:val="0"/>
          <w:sz w:val="32"/>
          <w:szCs w:val="32"/>
        </w:rPr>
      </w:pPr>
      <w:r>
        <w:rPr>
          <w:rFonts w:hint="eastAsia" w:ascii="微软雅黑" w:hAnsi="微软雅黑" w:eastAsia="微软雅黑" w:cs="微软雅黑"/>
          <w:b w:val="0"/>
          <w:bCs w:val="0"/>
          <w:sz w:val="32"/>
          <w:szCs w:val="32"/>
        </w:rPr>
        <w:t>三、完善适合中医药特点的医保支付方式</w:t>
      </w:r>
    </w:p>
    <w:p>
      <w:pPr>
        <w:ind w:firstLine="706" w:firstLineChars="222"/>
        <w:rPr>
          <w:rFonts w:hint="eastAsia" w:ascii="仿宋" w:hAnsi="仿宋" w:eastAsia="仿宋"/>
          <w:sz w:val="32"/>
          <w:szCs w:val="32"/>
        </w:rPr>
      </w:pPr>
      <w:r>
        <w:rPr>
          <w:rFonts w:hint="eastAsia" w:ascii="仿宋" w:hAnsi="仿宋" w:eastAsia="仿宋"/>
          <w:sz w:val="32"/>
          <w:szCs w:val="32"/>
        </w:rPr>
        <w:t>探索符合中医药服务特点的支付方式，将更多的诊疗方案和出入院标准比较明确、诊疗技术比较成熟的疾病实行按病种付费，促进中医药更快、更好发展，</w:t>
      </w:r>
      <w:r>
        <w:rPr>
          <w:rFonts w:hint="eastAsia" w:ascii="仿宋" w:hAnsi="仿宋" w:eastAsia="仿宋"/>
          <w:sz w:val="32"/>
          <w:szCs w:val="32"/>
          <w:highlight w:val="none"/>
        </w:rPr>
        <w:t>有条件的</w:t>
      </w:r>
      <w:r>
        <w:rPr>
          <w:rFonts w:hint="eastAsia" w:ascii="仿宋" w:hAnsi="仿宋" w:eastAsia="仿宋"/>
          <w:sz w:val="32"/>
          <w:szCs w:val="32"/>
          <w:highlight w:val="none"/>
          <w:lang w:eastAsia="zh-CN"/>
        </w:rPr>
        <w:t>医保经办机构</w:t>
      </w:r>
      <w:r>
        <w:rPr>
          <w:rFonts w:hint="eastAsia" w:ascii="仿宋" w:hAnsi="仿宋" w:eastAsia="仿宋"/>
          <w:sz w:val="32"/>
          <w:szCs w:val="32"/>
        </w:rPr>
        <w:t>可探索开展中医病种门诊治疗包干结算管理。</w:t>
      </w:r>
    </w:p>
    <w:p>
      <w:pPr>
        <w:ind w:firstLine="706" w:firstLineChars="222"/>
        <w:rPr>
          <w:rFonts w:hint="eastAsia" w:ascii="微软雅黑" w:hAnsi="微软雅黑" w:eastAsia="微软雅黑" w:cs="微软雅黑"/>
          <w:b w:val="0"/>
          <w:bCs w:val="0"/>
          <w:sz w:val="32"/>
          <w:szCs w:val="32"/>
        </w:rPr>
      </w:pPr>
      <w:r>
        <w:rPr>
          <w:rFonts w:hint="eastAsia" w:ascii="微软雅黑" w:hAnsi="微软雅黑" w:eastAsia="微软雅黑" w:cs="微软雅黑"/>
          <w:b w:val="0"/>
          <w:bCs w:val="0"/>
          <w:sz w:val="32"/>
          <w:szCs w:val="32"/>
        </w:rPr>
        <w:t>四、提高中医医疗机构医保基金使用效益</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（一）创新适合中医药特点的医保基金监管模式。</w:t>
      </w:r>
      <w:r>
        <w:rPr>
          <w:rFonts w:hint="eastAsia" w:ascii="仿宋" w:hAnsi="仿宋" w:eastAsia="仿宋"/>
          <w:sz w:val="32"/>
          <w:szCs w:val="32"/>
        </w:rPr>
        <w:t>全面提升中医医疗机构信息化水平，推动医保智能监控，进一步完善医保智能监控规则库和知识库，将监管延伸到医疗机构服务端和医师，建立全省统一的智能监控系统，实现事前提醒、事中预警、事后审核的</w:t>
      </w:r>
      <w:r>
        <w:rPr>
          <w:rFonts w:hint="eastAsia" w:ascii="仿宋" w:hAnsi="仿宋" w:eastAsia="仿宋"/>
          <w:sz w:val="32"/>
          <w:szCs w:val="32"/>
          <w:lang w:eastAsia="zh-CN"/>
        </w:rPr>
        <w:t>全</w:t>
      </w:r>
      <w:r>
        <w:rPr>
          <w:rFonts w:hint="eastAsia" w:ascii="仿宋" w:hAnsi="仿宋" w:eastAsia="仿宋"/>
          <w:sz w:val="32"/>
          <w:szCs w:val="32"/>
        </w:rPr>
        <w:t>过程监管，规范定点中医医疗机构服务行为，提高基金使用效益。</w:t>
      </w:r>
    </w:p>
    <w:p>
      <w:pPr>
        <w:ind w:firstLine="706" w:firstLineChars="222"/>
        <w:rPr>
          <w:rFonts w:hint="eastAsia" w:ascii="仿宋" w:hAnsi="仿宋" w:eastAsia="仿宋"/>
          <w:sz w:val="32"/>
          <w:szCs w:val="32"/>
        </w:rPr>
      </w:pPr>
      <w:r>
        <w:rPr>
          <w:rFonts w:hint="eastAsia" w:ascii="Times New Roman" w:hAnsi="Times New Roman" w:eastAsia="楷体_GB2312" w:cs="Times New Roman"/>
          <w:bCs/>
          <w:color w:val="auto"/>
          <w:kern w:val="0"/>
          <w:sz w:val="32"/>
          <w:szCs w:val="32"/>
          <w:shd w:val="clear" w:color="auto" w:fill="FFFFFF"/>
        </w:rPr>
        <w:t>（二）增强医保定</w:t>
      </w:r>
      <w:r>
        <w:rPr>
          <w:rFonts w:hint="eastAsia" w:ascii="Times New Roman" w:hAnsi="Times New Roman" w:eastAsia="楷体_GB2312" w:cs="Times New Roman"/>
          <w:bCs/>
          <w:color w:val="auto"/>
          <w:kern w:val="0"/>
          <w:sz w:val="32"/>
          <w:szCs w:val="32"/>
          <w:shd w:val="clear" w:color="auto" w:fill="FFFFFF"/>
          <w:lang w:eastAsia="zh-CN"/>
        </w:rPr>
        <w:t>点</w:t>
      </w:r>
      <w:r>
        <w:rPr>
          <w:rFonts w:hint="eastAsia" w:ascii="Times New Roman" w:hAnsi="Times New Roman" w:eastAsia="楷体_GB2312" w:cs="Times New Roman"/>
          <w:bCs/>
          <w:color w:val="auto"/>
          <w:kern w:val="0"/>
          <w:sz w:val="32"/>
          <w:szCs w:val="32"/>
          <w:shd w:val="clear" w:color="auto" w:fill="FFFFFF"/>
        </w:rPr>
        <w:t>中医医疗机构自我管理能力。</w:t>
      </w:r>
      <w:r>
        <w:rPr>
          <w:rFonts w:hint="eastAsia" w:ascii="仿宋" w:hAnsi="仿宋" w:eastAsia="仿宋"/>
          <w:sz w:val="32"/>
          <w:szCs w:val="32"/>
        </w:rPr>
        <w:t>加快完善与医保基金总额预算管理相适应的定点中医医疗机构考核评价体系，逐步建立以较低费用取得较大健康收益为目标的考评机制和医保基金总额调整机制，促进中医医疗机构加强自我管理，提高临床疗效，降低服务成本，提升服务质量。</w:t>
      </w:r>
    </w:p>
    <w:p>
      <w:pPr>
        <w:ind w:firstLine="706" w:firstLineChars="222"/>
        <w:rPr>
          <w:rFonts w:hint="eastAsia" w:ascii="仿宋" w:hAnsi="仿宋" w:eastAsia="仿宋"/>
          <w:sz w:val="32"/>
          <w:szCs w:val="32"/>
        </w:rPr>
      </w:pPr>
      <w:r>
        <w:rPr>
          <w:rFonts w:hint="eastAsia" w:ascii="微软雅黑" w:hAnsi="微软雅黑" w:eastAsia="微软雅黑" w:cs="微软雅黑"/>
          <w:b w:val="0"/>
          <w:bCs w:val="0"/>
          <w:sz w:val="32"/>
          <w:szCs w:val="32"/>
        </w:rPr>
        <w:t>五、本文件自2021年1月1日起施行。</w:t>
      </w:r>
    </w:p>
    <w:p>
      <w:pPr>
        <w:ind w:firstLine="706" w:firstLineChars="222"/>
        <w:rPr>
          <w:rFonts w:hint="eastAsia" w:ascii="仿宋" w:hAnsi="仿宋" w:eastAsia="仿宋"/>
          <w:sz w:val="32"/>
          <w:szCs w:val="32"/>
        </w:rPr>
      </w:pPr>
    </w:p>
    <w:p>
      <w:pPr>
        <w:pStyle w:val="2"/>
        <w:rPr>
          <w:rFonts w:hint="eastAsia" w:ascii="仿宋" w:hAnsi="仿宋" w:eastAsia="仿宋"/>
          <w:sz w:val="32"/>
          <w:szCs w:val="32"/>
        </w:rPr>
      </w:pPr>
    </w:p>
    <w:p>
      <w:pPr>
        <w:pStyle w:val="3"/>
        <w:rPr>
          <w:rFonts w:hint="eastAsia" w:ascii="仿宋" w:hAnsi="仿宋" w:eastAsia="仿宋"/>
          <w:sz w:val="32"/>
          <w:szCs w:val="32"/>
        </w:rPr>
      </w:pPr>
    </w:p>
    <w:p>
      <w:pPr>
        <w:rPr>
          <w:rFonts w:hint="eastAsia"/>
        </w:rPr>
      </w:pPr>
    </w:p>
    <w:p>
      <w:pPr>
        <w:ind w:firstLine="636" w:firstLineChars="200"/>
        <w:rPr>
          <w:rFonts w:hint="eastAsia" w:ascii="仿宋" w:hAnsi="仿宋" w:eastAsia="仿宋"/>
          <w:sz w:val="32"/>
          <w:szCs w:val="32"/>
        </w:rPr>
      </w:pPr>
      <w:r>
        <w:rPr>
          <w:rFonts w:hint="eastAsia" w:ascii="仿宋" w:hAnsi="仿宋" w:eastAsia="仿宋"/>
          <w:sz w:val="32"/>
          <w:szCs w:val="32"/>
        </w:rPr>
        <w:t>益阳市医疗保障局                  益阳市财政局</w:t>
      </w:r>
    </w:p>
    <w:p>
      <w:pPr>
        <w:rPr>
          <w:rFonts w:hint="eastAsia" w:ascii="仿宋" w:hAnsi="仿宋" w:eastAsia="仿宋"/>
          <w:sz w:val="32"/>
          <w:szCs w:val="32"/>
        </w:rPr>
      </w:pPr>
    </w:p>
    <w:p>
      <w:pPr>
        <w:ind w:firstLine="3180" w:firstLineChars="1000"/>
        <w:rPr>
          <w:rFonts w:hint="eastAsia" w:ascii="仿宋" w:hAnsi="仿宋" w:eastAsia="仿宋"/>
          <w:sz w:val="32"/>
          <w:szCs w:val="32"/>
        </w:rPr>
      </w:pPr>
    </w:p>
    <w:p>
      <w:pPr>
        <w:jc w:val="center"/>
        <w:rPr>
          <w:rFonts w:hint="eastAsia" w:ascii="仿宋" w:hAnsi="仿宋" w:eastAsia="仿宋"/>
          <w:sz w:val="32"/>
          <w:szCs w:val="32"/>
        </w:rPr>
      </w:pPr>
      <w:r>
        <w:rPr>
          <w:rFonts w:hint="eastAsia" w:ascii="仿宋" w:hAnsi="仿宋" w:eastAsia="仿宋"/>
          <w:sz w:val="32"/>
          <w:szCs w:val="32"/>
        </w:rPr>
        <w:t>益阳市卫生健康委员会</w:t>
      </w:r>
    </w:p>
    <w:p>
      <w:pPr>
        <w:ind w:firstLine="3180" w:firstLineChars="1000"/>
        <w:rPr>
          <w:rFonts w:hint="eastAsia" w:ascii="仿宋" w:hAnsi="仿宋" w:eastAsia="仿宋"/>
          <w:sz w:val="32"/>
          <w:szCs w:val="32"/>
        </w:rPr>
      </w:pPr>
    </w:p>
    <w:p>
      <w:pPr>
        <w:ind w:firstLine="3180" w:firstLineChars="1000"/>
        <w:rPr>
          <w:rFonts w:hint="eastAsia" w:ascii="仿宋" w:hAnsi="仿宋" w:eastAsia="仿宋"/>
          <w:sz w:val="32"/>
          <w:szCs w:val="32"/>
        </w:rPr>
      </w:pPr>
      <w:r>
        <w:rPr>
          <w:rFonts w:hint="eastAsia" w:ascii="仿宋" w:hAnsi="仿宋" w:eastAsia="仿宋"/>
          <w:sz w:val="32"/>
          <w:szCs w:val="32"/>
        </w:rPr>
        <w:t xml:space="preserve">       </w:t>
      </w:r>
    </w:p>
    <w:p>
      <w:pPr>
        <w:ind w:firstLine="5883" w:firstLineChars="1850"/>
        <w:rPr>
          <w:rFonts w:ascii="仿宋" w:hAnsi="仿宋" w:eastAsia="仿宋"/>
          <w:sz w:val="32"/>
          <w:szCs w:val="32"/>
        </w:rPr>
      </w:pPr>
      <w:r>
        <w:rPr>
          <w:rFonts w:ascii="仿宋" w:hAnsi="仿宋" w:eastAsia="仿宋"/>
          <w:sz w:val="32"/>
          <w:szCs w:val="32"/>
        </w:rPr>
        <w:t>2021年1月</w:t>
      </w:r>
      <w:r>
        <w:rPr>
          <w:rFonts w:hint="eastAsia" w:ascii="仿宋" w:hAnsi="仿宋" w:eastAsia="仿宋"/>
          <w:sz w:val="32"/>
          <w:szCs w:val="32"/>
          <w:lang w:val="en-US" w:eastAsia="zh-CN"/>
        </w:rPr>
        <w:t>14</w:t>
      </w:r>
      <w:r>
        <w:rPr>
          <w:rFonts w:ascii="仿宋" w:hAnsi="仿宋" w:eastAsia="仿宋"/>
          <w:sz w:val="32"/>
          <w:szCs w:val="32"/>
        </w:rPr>
        <w:t>日</w:t>
      </w:r>
    </w:p>
    <w:sectPr>
      <w:pgSz w:w="11906" w:h="16838"/>
      <w:pgMar w:top="1985" w:right="1418" w:bottom="1814" w:left="1588" w:header="851" w:footer="1134" w:gutter="0"/>
      <w:cols w:space="425" w:num="1"/>
      <w:docGrid w:type="linesAndChars" w:linePitch="592" w:charSpace="-4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evenAndOddHeaders w:val="1"/>
  <w:drawingGridHorizontalSpacing w:val="159"/>
  <w:drawingGridVerticalSpacing w:val="29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04F9"/>
    <w:rsid w:val="001D04F9"/>
    <w:rsid w:val="00220802"/>
    <w:rsid w:val="00225181"/>
    <w:rsid w:val="00563A7E"/>
    <w:rsid w:val="007340D4"/>
    <w:rsid w:val="00A51D12"/>
    <w:rsid w:val="00E25581"/>
    <w:rsid w:val="00F80A53"/>
    <w:rsid w:val="124A20FC"/>
    <w:rsid w:val="27161A4B"/>
    <w:rsid w:val="34541FB7"/>
    <w:rsid w:val="381F7B07"/>
    <w:rsid w:val="38787505"/>
    <w:rsid w:val="3A587D97"/>
    <w:rsid w:val="53FF3225"/>
    <w:rsid w:val="7FD82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uiPriority w:val="0"/>
    <w:pPr>
      <w:snapToGrid w:val="0"/>
      <w:jc w:val="left"/>
    </w:pPr>
    <w:rPr>
      <w:sz w:val="18"/>
      <w:szCs w:val="18"/>
    </w:rPr>
  </w:style>
  <w:style w:type="paragraph" w:styleId="3">
    <w:name w:val="index 5"/>
    <w:basedOn w:val="1"/>
    <w:next w:val="1"/>
    <w:qFormat/>
    <w:uiPriority w:val="0"/>
    <w:pPr>
      <w:ind w:left="168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215</Words>
  <Characters>1231</Characters>
  <Lines>10</Lines>
  <Paragraphs>2</Paragraphs>
  <TotalTime>68</TotalTime>
  <ScaleCrop>false</ScaleCrop>
  <LinksUpToDate>false</LinksUpToDate>
  <CharactersWithSpaces>1444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2021-01-15T02:01:00Z</dcterms:created>
  <dc:creator>Administrator</dc:creator>
  <cp:lastModifiedBy>潇潇</cp:lastModifiedBy>
  <dcterms:modified xsi:type="dcterms:W3CDTF">2021-01-15T06:39:30Z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